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header1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9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Приложение №1 к Документации о закупке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</w:t>
      </w:r>
      <w:r>
        <w:rPr>
          <w:rFonts w:eastAsia="Calibri"/>
          <w:b/>
          <w:sz w:val="26"/>
          <w:szCs w:val="26"/>
        </w:rPr>
        <w:t xml:space="preserve">на поставку МТР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jc w:val="center"/>
        <w:keepLines/>
        <w:keepNext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</w:rPr>
        <w:t xml:space="preserve">КПД2 28.13.14 Поставка насосного оборудования в рамках реализации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keepLines/>
        <w:keepNext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инвестиционного проекта N_505-ХТЭЦ-1-3" Строительство очистных сооружений (нефтеловушки) для обеспечения очистки сточных вод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keepLines/>
        <w:keepNext/>
        <w:rPr>
          <w:highlight w:val="yellow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Хабаровской ТЭЦ-1</w:t>
      </w:r>
      <w:r>
        <w:rPr>
          <w:rFonts w:ascii="Times New Roman" w:hAnsi="Times New Roman"/>
          <w:b/>
          <w:bCs/>
          <w:sz w:val="28"/>
          <w:szCs w:val="28"/>
        </w:rPr>
        <w:t xml:space="preserve">" г. Хабаровск</w:t>
      </w:r>
      <w:r>
        <w:rPr>
          <w:highlight w:val="yellow"/>
        </w:rPr>
      </w:r>
      <w:r>
        <w:rPr>
          <w:highlight w:val="yellow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 w:val="0"/>
          <w:bCs w:val="0"/>
          <w:sz w:val="26"/>
          <w:szCs w:val="26"/>
        </w:rPr>
        <w:t xml:space="preserve">Лот </w:t>
      </w:r>
      <w:r>
        <w:rPr>
          <w:rFonts w:eastAsia="Calibri"/>
          <w:b w:val="0"/>
          <w:bCs w:val="0"/>
          <w:sz w:val="26"/>
          <w:szCs w:val="26"/>
        </w:rPr>
        <w:t xml:space="preserve">№</w:t>
      </w:r>
      <w:r>
        <w:rPr>
          <w:rFonts w:eastAsia="Calibri"/>
          <w:b w:val="0"/>
          <w:bCs w:val="0"/>
          <w:sz w:val="26"/>
          <w:szCs w:val="26"/>
        </w:rPr>
        <w:t xml:space="preserve"> </w:t>
      </w:r>
      <w:r>
        <w:rPr>
          <w:b w:val="0"/>
          <w:bCs w:val="0"/>
          <w:sz w:val="28"/>
          <w:szCs w:val="28"/>
        </w:rPr>
        <w:t xml:space="preserve">22216037-ТПИР ОТМ-2026-ДГК </w:t>
      </w: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i/>
          <w:sz w:val="26"/>
          <w:szCs w:val="26"/>
        </w:rPr>
      </w:pPr>
      <w:r>
        <w:rPr>
          <w:rFonts w:eastAsia="Calibri"/>
          <w:b/>
          <w:bCs/>
          <w:i/>
          <w:sz w:val="26"/>
          <w:szCs w:val="26"/>
        </w:rPr>
      </w:r>
      <w:r>
        <w:rPr>
          <w:rFonts w:eastAsia="Calibri"/>
          <w:b/>
          <w:bCs/>
          <w:i/>
          <w:sz w:val="26"/>
          <w:szCs w:val="26"/>
        </w:rPr>
      </w:r>
      <w:r>
        <w:rPr>
          <w:rFonts w:eastAsia="Calibri"/>
          <w:b/>
          <w:bCs/>
          <w:i/>
          <w:sz w:val="26"/>
          <w:szCs w:val="26"/>
        </w:rPr>
      </w:r>
    </w:p>
    <w:p>
      <w:pPr>
        <w:jc w:val="both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sdt>
      <w:sdtPr>
        <w15:appearance w15:val="boundingBox"/>
        <w:id w:val="621731041"/>
        <w:docPartObj>
          <w:docPartGallery w:val="Table of Contents"/>
          <w:docPartUnique w:val="true"/>
        </w:docPartObj>
        <w:rPr/>
      </w:sdtPr>
      <w:sdtContent>
        <w:p>
          <w:pPr>
            <w:pStyle w:val="1173"/>
            <w:tabs>
              <w:tab w:val="left" w:pos="560" w:leader="none"/>
              <w:tab w:val="left" w:pos="2561" w:leader="none"/>
              <w:tab w:val="right" w:pos="9911" w:leader="dot"/>
            </w:tabs>
            <w:rPr>
              <w:rStyle w:val="1141"/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>
            <w:fldChar w:fldCharType="begin"/>
          </w:r>
          <w:r>
            <w:rPr>
              <w:rStyle w:val="1141"/>
            </w:rPr>
            <w:instrText xml:space="preserve"> TOC \z \o "1-4" \u \h</w:instrText>
          </w:r>
          <w:r>
            <w:rPr>
              <w:rStyle w:val="1141"/>
            </w:rPr>
            <w:fldChar w:fldCharType="separate"/>
          </w:r>
          <w:hyperlink w:tooltip="#_Toc75446566" w:anchor="_Toc75446566" w:history="1">
            <w:r>
              <w:rPr>
                <w:rStyle w:val="1141"/>
              </w:rPr>
              <w:t xml:space="preserve">1.</w:t>
            </w:r>
            <w:r>
              <w:rPr>
                <w:rStyle w:val="1141"/>
                <w:rFonts w:asciiTheme="minorHAnsi" w:hAnsiTheme="minorHAnsi" w:eastAsiaTheme="minorEastAsia" w:cstheme="minorBidi"/>
                <w:b w:val="0"/>
                <w:bCs w:val="0"/>
                <w:sz w:val="22"/>
                <w:szCs w:val="22"/>
              </w:rPr>
              <w:tab/>
            </w:r>
          </w:hyperlink>
          <w:r>
            <w:rPr>
              <w:rStyle w:val="1141"/>
            </w:rPr>
            <w:t xml:space="preserve">Общие сведения                                                                                                                            3</w:t>
          </w:r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  <w:tab/>
          </w:r>
          <w:r>
            <w:rPr>
              <w:rStyle w:val="1141"/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Style w:val="1141"/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  <w:p>
          <w:pPr>
            <w:pStyle w:val="1184"/>
            <w:tabs>
              <w:tab w:val="left" w:pos="1120" w:leader="none"/>
              <w:tab w:val="right" w:pos="9911" w:leader="dot"/>
            </w:tabs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75446567" w:anchor="_Toc75446567" w:history="1">
            <w:r>
              <w:rPr>
                <w:rStyle w:val="1141"/>
                <w:iCs/>
              </w:rPr>
              <w:t xml:space="preserve">1.1.</w:t>
            </w:r>
            <w:r>
              <w:rPr>
                <w:rStyle w:val="1141"/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_Toc75446567 \h</w:instrText>
            </w:r>
            <w:r>
              <w:fldChar w:fldCharType="separate"/>
            </w:r>
            <w:r>
              <w:rPr>
                <w:rStyle w:val="1141"/>
              </w:rPr>
              <w:t xml:space="preserve">Обозначения и сокращения</w:t>
            </w:r>
            <w:r>
              <w:rPr>
                <w:rStyle w:val="1141"/>
              </w:rPr>
              <w:tab/>
              <w:t xml:space="preserve">3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184"/>
            <w:tabs>
              <w:tab w:val="left" w:pos="1120" w:leader="none"/>
              <w:tab w:val="right" w:pos="9911" w:leader="dot"/>
            </w:tabs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75446568" w:anchor="_Toc75446568" w:history="1">
            <w:r>
              <w:rPr>
                <w:rStyle w:val="1141"/>
                <w:iCs/>
              </w:rPr>
              <w:t xml:space="preserve">1.2.</w:t>
            </w:r>
            <w:r>
              <w:rPr>
                <w:rStyle w:val="1141"/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_Toc75446568 \h</w:instrText>
            </w:r>
            <w:r>
              <w:fldChar w:fldCharType="separate"/>
            </w:r>
            <w:r>
              <w:t xml:space="preserve">Наименование закупаемой продукции</w:t>
            </w:r>
            <w:r>
              <w:tab/>
              <w:t xml:space="preserve">4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184"/>
            <w:tabs>
              <w:tab w:val="left" w:pos="1120" w:leader="none"/>
              <w:tab w:val="right" w:pos="9911" w:leader="dot"/>
            </w:tabs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75446569" w:anchor="_Toc75446569" w:history="1">
            <w:r>
              <w:rPr>
                <w:rStyle w:val="1141"/>
                <w:iCs/>
              </w:rPr>
              <w:t xml:space="preserve">1.3.</w:t>
            </w:r>
            <w:r>
              <w:rPr>
                <w:rStyle w:val="1141"/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141"/>
              </w:rPr>
              <w:t xml:space="preserve">Цель использования закупаемой продукции</w:t>
            </w:r>
            <w:r>
              <w:fldChar w:fldCharType="begin"/>
            </w:r>
            <w:r>
              <w:instrText xml:space="preserve">PAGEREF _Toc75446569 \h</w:instrText>
            </w:r>
            <w:r>
              <w:fldChar w:fldCharType="separate"/>
            </w:r>
            <w:r>
              <w:rPr>
                <w:rStyle w:val="1141"/>
              </w:rPr>
              <w:tab/>
              <w:t xml:space="preserve">4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184"/>
            <w:tabs>
              <w:tab w:val="left" w:pos="1120" w:leader="none"/>
              <w:tab w:val="right" w:pos="9911" w:leader="dot"/>
            </w:tabs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75446571" w:anchor="_Toc75446571" w:history="1">
            <w:r>
              <w:rPr>
                <w:rStyle w:val="1141"/>
                <w:iCs/>
              </w:rPr>
              <w:t xml:space="preserve">1.4.</w:t>
            </w:r>
            <w:r>
              <w:rPr>
                <w:rStyle w:val="1141"/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141"/>
              </w:rPr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  <w:r>
              <w:fldChar w:fldCharType="begin"/>
            </w:r>
            <w:r>
              <w:instrText xml:space="preserve">PAGEREF _Toc75446571 \h</w:instrText>
            </w:r>
            <w:r>
              <w:fldChar w:fldCharType="separate"/>
            </w:r>
            <w:r>
              <w:rPr>
                <w:rStyle w:val="1141"/>
              </w:rPr>
              <w:tab/>
              <w:t xml:space="preserve">4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184"/>
            <w:tabs>
              <w:tab w:val="left" w:pos="1120" w:leader="none"/>
              <w:tab w:val="right" w:pos="9911" w:leader="dot"/>
            </w:tabs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75446572" w:anchor="_Toc75446572" w:history="1">
            <w:r>
              <w:rPr>
                <w:rStyle w:val="1141"/>
                <w:iCs/>
              </w:rPr>
              <w:t xml:space="preserve">1.5.</w:t>
            </w:r>
            <w:r>
              <w:rPr>
                <w:rStyle w:val="1141"/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141"/>
              </w:rPr>
              <w:t xml:space="preserve">Иные требования и сведения общего характера</w:t>
            </w:r>
            <w:r>
              <w:fldChar w:fldCharType="begin"/>
            </w:r>
            <w:r>
              <w:instrText xml:space="preserve">PAGEREF _Toc75446572 \h</w:instrText>
            </w:r>
            <w:r>
              <w:fldChar w:fldCharType="separate"/>
            </w:r>
            <w:r>
              <w:rPr>
                <w:rStyle w:val="1141"/>
              </w:rPr>
              <w:tab/>
              <w:t xml:space="preserve">4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173"/>
            <w:tabs>
              <w:tab w:val="left" w:pos="560" w:leader="none"/>
              <w:tab w:val="right" w:pos="9911" w:leader="dot"/>
            </w:tabs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/>
          <w:hyperlink w:tooltip="#_Toc75446573" w:anchor="_Toc75446573" w:history="1">
            <w:r>
              <w:rPr>
                <w:rStyle w:val="1141"/>
              </w:rPr>
              <w:t xml:space="preserve">2.</w:t>
            </w:r>
            <w:r>
              <w:rPr>
                <w:rStyle w:val="1141"/>
                <w:rFonts w:asciiTheme="minorHAnsi" w:hAnsiTheme="minorHAnsi" w:eastAsiaTheme="minorEastAsia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1141"/>
                <w:iCs/>
              </w:rPr>
              <w:t xml:space="preserve">Требования к продукции</w:t>
            </w:r>
            <w:r>
              <w:fldChar w:fldCharType="begin"/>
            </w:r>
            <w:r>
              <w:instrText xml:space="preserve">PAGEREF _Toc75446573 \h</w:instrText>
            </w:r>
            <w:r>
              <w:fldChar w:fldCharType="separate"/>
            </w:r>
            <w:r>
              <w:rPr>
                <w:rStyle w:val="1141"/>
              </w:rPr>
              <w:tab/>
              <w:t xml:space="preserve">4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  <w:p>
          <w:pPr>
            <w:pStyle w:val="1184"/>
            <w:tabs>
              <w:tab w:val="left" w:pos="1120" w:leader="none"/>
              <w:tab w:val="right" w:pos="9911" w:leader="dot"/>
            </w:tabs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75446574" w:anchor="_Toc75446574" w:history="1">
            <w:r>
              <w:rPr>
                <w:rStyle w:val="1141"/>
                <w:iCs/>
              </w:rPr>
              <w:t xml:space="preserve">2.1.</w:t>
            </w:r>
            <w:r>
              <w:rPr>
                <w:rStyle w:val="1141"/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_Toc75446574 \h</w:instrText>
            </w:r>
            <w:r>
              <w:fldChar w:fldCharType="separate"/>
            </w:r>
            <w:r>
              <w:rPr>
                <w:rStyle w:val="1141"/>
              </w:rPr>
              <w:t xml:space="preserve">Требования к объемам и срокам поставки</w:t>
            </w:r>
            <w:r>
              <w:rPr>
                <w:rStyle w:val="1141"/>
              </w:rPr>
              <w:tab/>
              <w:t xml:space="preserve">4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174"/>
            <w:tabs>
              <w:tab w:val="left" w:pos="1120" w:leader="none"/>
              <w:tab w:val="right" w:pos="9911" w:leader="dot"/>
            </w:tabs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75446575" w:anchor="_Toc75446575" w:history="1">
            <w:r>
              <w:rPr>
                <w:rStyle w:val="1141"/>
              </w:rPr>
              <w:t xml:space="preserve">2.1.1.</w:t>
            </w:r>
            <w:r>
              <w:rPr>
                <w:rStyle w:val="1141"/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_Toc75446575 \h</w:instrText>
            </w:r>
            <w:r>
              <w:fldChar w:fldCharType="separate"/>
            </w:r>
            <w:r>
              <w:rPr>
                <w:rStyle w:val="1141"/>
              </w:rPr>
              <w:t xml:space="preserve">Перечень и объем закупаемой продукции</w:t>
            </w:r>
            <w:r>
              <w:rPr>
                <w:rStyle w:val="1141"/>
              </w:rPr>
              <w:tab/>
              <w:t xml:space="preserve">4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173"/>
            <w:tabs>
              <w:tab w:val="right" w:pos="9911" w:leader="dot"/>
            </w:tabs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/>
          <w:hyperlink w:tooltip="#_Toc75446576" w:anchor="_Toc75446576" w:history="1">
            <w:r>
              <w:rPr>
                <w:rStyle w:val="1141"/>
              </w:rPr>
              <w:t xml:space="preserve">Таблица 1.1 Перечень и объем закупаемой продукции</w:t>
            </w:r>
            <w:r>
              <w:fldChar w:fldCharType="begin"/>
            </w:r>
            <w:r>
              <w:instrText xml:space="preserve">PAGEREF _Toc75446576 \h</w:instrText>
            </w:r>
            <w:r>
              <w:fldChar w:fldCharType="separate"/>
            </w:r>
            <w:r>
              <w:rPr>
                <w:rStyle w:val="1141"/>
              </w:rPr>
              <w:tab/>
              <w:t xml:space="preserve">4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  <w:p>
          <w:pPr>
            <w:pStyle w:val="1173"/>
            <w:tabs>
              <w:tab w:val="right" w:pos="9911" w:leader="dot"/>
            </w:tabs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/>
          <w:hyperlink w:tooltip="#_Toc75446577" w:anchor="_Toc75446577" w:history="1">
            <w:r>
              <w:rPr>
                <w:rStyle w:val="1141"/>
              </w:rPr>
              <w:t xml:space="preserve">Таблица 1.2 Перечень и объем закупаемых сопутствующих услуг</w:t>
            </w:r>
            <w:r>
              <w:fldChar w:fldCharType="begin"/>
            </w:r>
            <w:r>
              <w:instrText xml:space="preserve">PAGEREF _Toc75446577 \h</w:instrText>
            </w:r>
            <w:r>
              <w:fldChar w:fldCharType="separate"/>
            </w:r>
            <w:r>
              <w:rPr>
                <w:rStyle w:val="1141"/>
              </w:rPr>
              <w:tab/>
              <w:t xml:space="preserve">4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  <w:p>
          <w:pPr>
            <w:pStyle w:val="1174"/>
            <w:tabs>
              <w:tab w:val="left" w:pos="1120" w:leader="none"/>
              <w:tab w:val="right" w:pos="9911" w:leader="dot"/>
            </w:tabs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75446578" w:anchor="_Toc75446578" w:history="1">
            <w:r>
              <w:rPr>
                <w:rStyle w:val="1141"/>
              </w:rPr>
              <w:t xml:space="preserve">2.1.2.</w:t>
            </w:r>
            <w:r>
              <w:rPr>
                <w:rStyle w:val="1141"/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_Toc75446578 \h</w:instrText>
            </w:r>
            <w:r>
              <w:fldChar w:fldCharType="separate"/>
            </w:r>
            <w:r>
              <w:rPr>
                <w:rStyle w:val="1141"/>
              </w:rPr>
              <w:t xml:space="preserve">Требования к срокам поставки продукции и оказания сопутствующих услуг</w:t>
            </w:r>
            <w:r>
              <w:rPr>
                <w:rStyle w:val="1141"/>
              </w:rPr>
              <w:tab/>
              <w:t xml:space="preserve">4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173"/>
            <w:tabs>
              <w:tab w:val="right" w:pos="9911" w:leader="dot"/>
            </w:tabs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/>
          <w:hyperlink w:tooltip="#_Toc75446579" w:anchor="_Toc75446579" w:history="1">
            <w:r>
              <w:rPr>
                <w:rStyle w:val="1141"/>
              </w:rPr>
              <w:t xml:space="preserve">Таблица 2.1 Требования по срокам поставки продукции</w:t>
            </w:r>
            <w:r>
              <w:fldChar w:fldCharType="begin"/>
            </w:r>
            <w:r>
              <w:instrText xml:space="preserve">PAGEREF _Toc75446579 \h</w:instrText>
            </w:r>
            <w:r>
              <w:fldChar w:fldCharType="separate"/>
            </w:r>
            <w:r>
              <w:rPr>
                <w:rStyle w:val="1141"/>
              </w:rPr>
              <w:tab/>
              <w:t xml:space="preserve">5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  <w:p>
          <w:pPr>
            <w:pStyle w:val="1173"/>
            <w:tabs>
              <w:tab w:val="right" w:pos="9911" w:leader="dot"/>
            </w:tabs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/>
          <w:hyperlink w:tooltip="#_Toc75446580" w:anchor="_Toc75446580" w:history="1">
            <w:r>
              <w:rPr>
                <w:rStyle w:val="1141"/>
              </w:rPr>
              <w:t xml:space="preserve">Таблица 2.2 Требования по срокам оказания сопутствующих услуг</w:t>
            </w:r>
            <w:r>
              <w:fldChar w:fldCharType="begin"/>
            </w:r>
            <w:r>
              <w:instrText xml:space="preserve">PAGEREF _Toc75446580 \h</w:instrText>
            </w:r>
            <w:r>
              <w:fldChar w:fldCharType="separate"/>
            </w:r>
            <w:r>
              <w:rPr>
                <w:rStyle w:val="1141"/>
              </w:rPr>
              <w:tab/>
              <w:t xml:space="preserve">5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  <w:p>
          <w:pPr>
            <w:pStyle w:val="1184"/>
            <w:tabs>
              <w:tab w:val="left" w:pos="1120" w:leader="none"/>
              <w:tab w:val="right" w:pos="9911" w:leader="dot"/>
            </w:tabs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75446581" w:anchor="_Toc75446581" w:history="1">
            <w:r>
              <w:rPr>
                <w:rStyle w:val="1141"/>
                <w:iCs/>
              </w:rPr>
              <w:t xml:space="preserve">2.2.</w:t>
            </w:r>
            <w:r>
              <w:rPr>
                <w:rStyle w:val="1141"/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_Toc75446581 \h</w:instrText>
            </w:r>
            <w:r>
              <w:fldChar w:fldCharType="separate"/>
            </w:r>
            <w:r>
              <w:rPr>
                <w:rStyle w:val="1141"/>
              </w:rPr>
              <w:t xml:space="preserve">Требования к качеству продукции</w:t>
            </w:r>
            <w:r>
              <w:rPr>
                <w:rStyle w:val="1141"/>
              </w:rPr>
              <w:tab/>
              <w:t xml:space="preserve">6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173"/>
            <w:tabs>
              <w:tab w:val="right" w:pos="9911" w:leader="dot"/>
            </w:tabs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/>
          <w:hyperlink w:tooltip="#_Toc75446582" w:anchor="_Toc75446582" w:history="1">
            <w:r>
              <w:rPr>
                <w:rStyle w:val="1141"/>
              </w:rPr>
              <w:t xml:space="preserve">Таблица 3. Требования к продукции</w:t>
            </w:r>
            <w:r>
              <w:fldChar w:fldCharType="begin"/>
            </w:r>
            <w:r>
              <w:instrText xml:space="preserve">PAGEREF _Toc75446582 \h</w:instrText>
            </w:r>
            <w:r>
              <w:fldChar w:fldCharType="separate"/>
            </w:r>
            <w:r>
              <w:rPr>
                <w:rStyle w:val="1141"/>
              </w:rPr>
              <w:tab/>
              <w:t xml:space="preserve">6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  <w:p>
          <w:pPr>
            <w:pStyle w:val="1173"/>
            <w:tabs>
              <w:tab w:val="left" w:pos="560" w:leader="none"/>
              <w:tab w:val="right" w:pos="9911" w:leader="dot"/>
            </w:tabs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/>
          <w:hyperlink w:tooltip="#_Toc75446583" w:anchor="_Toc75446583" w:history="1">
            <w:r>
              <w:rPr>
                <w:rStyle w:val="1141"/>
              </w:rPr>
              <w:t xml:space="preserve">3.</w:t>
            </w:r>
            <w:r>
              <w:rPr>
                <w:rStyle w:val="1141"/>
                <w:rFonts w:asciiTheme="minorHAnsi" w:hAnsiTheme="minorHAnsi" w:eastAsiaTheme="minorEastAsia" w:cstheme="minorBidi"/>
                <w:b w:val="0"/>
                <w:bCs w:val="0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_Toc75446583 \h</w:instrText>
            </w:r>
            <w:r>
              <w:fldChar w:fldCharType="separate"/>
            </w:r>
            <w:r>
              <w:rPr>
                <w:rStyle w:val="1141"/>
              </w:rPr>
              <w:t xml:space="preserve">Требования к документации по ценообразованию на этапе закупки</w:t>
            </w:r>
            <w:r>
              <w:rPr>
                <w:rStyle w:val="1141"/>
              </w:rPr>
              <w:tab/>
              <w:t xml:space="preserve">21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  <w:p>
          <w:pPr>
            <w:pStyle w:val="1173"/>
            <w:tabs>
              <w:tab w:val="left" w:pos="560" w:leader="none"/>
              <w:tab w:val="right" w:pos="9911" w:leader="dot"/>
            </w:tabs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/>
          <w:hyperlink w:tooltip="#_Toc75446584" w:anchor="_Toc75446584" w:history="1">
            <w:r>
              <w:rPr>
                <w:rStyle w:val="1141"/>
              </w:rPr>
              <w:t xml:space="preserve">4.</w:t>
            </w:r>
            <w:r>
              <w:rPr>
                <w:rStyle w:val="1141"/>
                <w:rFonts w:asciiTheme="minorHAnsi" w:hAnsiTheme="minorHAnsi" w:eastAsiaTheme="minorEastAsia" w:cstheme="minorBidi"/>
                <w:b w:val="0"/>
                <w:bCs w:val="0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_Toc75446584 \h</w:instrText>
            </w:r>
            <w:r>
              <w:fldChar w:fldCharType="separate"/>
            </w:r>
            <w:r>
              <w:rPr>
                <w:rStyle w:val="1141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rPr>
                <w:rStyle w:val="1141"/>
              </w:rPr>
              <w:tab/>
              <w:t xml:space="preserve">22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  <w:p>
          <w:pPr>
            <w:pStyle w:val="1173"/>
            <w:tabs>
              <w:tab w:val="left" w:pos="560" w:leader="none"/>
              <w:tab w:val="right" w:pos="9911" w:leader="dot"/>
            </w:tabs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pPr>
          <w:r/>
          <w:hyperlink w:tooltip="#_Toc75446585" w:anchor="_Toc75446585" w:history="1">
            <w:r>
              <w:rPr>
                <w:rStyle w:val="1141"/>
              </w:rPr>
              <w:t xml:space="preserve">5.</w:t>
            </w:r>
            <w:r>
              <w:rPr>
                <w:rStyle w:val="1141"/>
                <w:rFonts w:asciiTheme="minorHAnsi" w:hAnsiTheme="minorHAnsi" w:eastAsiaTheme="minorEastAsia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1141"/>
                <w:iCs/>
              </w:rPr>
              <w:t xml:space="preserve">Приложения</w:t>
            </w:r>
            <w:r>
              <w:fldChar w:fldCharType="begin"/>
            </w:r>
            <w:r>
              <w:instrText xml:space="preserve">PAGEREF _Toc75446585 \h</w:instrText>
            </w:r>
            <w:r>
              <w:fldChar w:fldCharType="separate"/>
            </w:r>
            <w:r>
              <w:rPr>
                <w:rStyle w:val="1141"/>
              </w:rPr>
              <w:tab/>
              <w:t xml:space="preserve">23</w:t>
            </w:r>
            <w:r>
              <w:fldChar w:fldCharType="end"/>
            </w:r>
          </w:hyperlink>
          <w:r>
            <w:rPr>
              <w:rStyle w:val="1141"/>
            </w:rPr>
            <w:fldChar w:fldCharType="end"/>
          </w:r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b w:val="0"/>
              <w:bCs w:val="0"/>
              <w:sz w:val="22"/>
              <w:szCs w:val="22"/>
            </w:rPr>
          </w:r>
        </w:p>
      </w:sdtContent>
    </w:sdt>
    <w:p>
      <w:pPr>
        <w:pStyle w:val="936"/>
        <w:ind w:left="0" w:firstLine="0"/>
        <w:tabs>
          <w:tab w:val="clear" w:pos="0" w:leader="none"/>
        </w:tabs>
        <w:rPr>
          <w:b w:val="0"/>
          <w:i/>
        </w:rPr>
      </w:pPr>
      <w:r>
        <w:rPr>
          <w:b w:val="0"/>
          <w:i/>
        </w:rPr>
      </w:r>
      <w:r>
        <w:rPr>
          <w:b w:val="0"/>
          <w:i/>
        </w:rPr>
      </w:r>
      <w:r>
        <w:rPr>
          <w:b w:val="0"/>
          <w:i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935"/>
        <w:ind w:left="357" w:hanging="357"/>
        <w:jc w:val="center"/>
        <w:keepLines/>
        <w:rPr>
          <w:caps/>
        </w:rPr>
      </w:pPr>
      <w:r/>
      <w:bookmarkStart w:id="1" w:name="_Toc51339692"/>
      <w:r/>
      <w:bookmarkStart w:id="2" w:name="_Toc75446566"/>
      <w:r>
        <w:t xml:space="preserve">Общие сведения</w:t>
      </w:r>
      <w:bookmarkEnd w:id="1"/>
      <w:r/>
      <w:bookmarkEnd w:id="2"/>
      <w:r>
        <w:rPr>
          <w:caps/>
        </w:rPr>
      </w:r>
      <w:r>
        <w:rPr>
          <w:caps/>
        </w:rPr>
      </w:r>
    </w:p>
    <w:p>
      <w:pPr>
        <w:pStyle w:val="938"/>
        <w:numPr>
          <w:ilvl w:val="1"/>
          <w:numId w:val="3"/>
        </w:numPr>
      </w:pPr>
      <w:r/>
      <w:bookmarkStart w:id="3" w:name="_Toc46743505"/>
      <w:r/>
      <w:bookmarkStart w:id="4" w:name="_Toc75446567"/>
      <w:r>
        <w:t xml:space="preserve">Обозначения и сокращения</w:t>
      </w:r>
      <w:bookmarkEnd w:id="3"/>
      <w:r/>
      <w:bookmarkEnd w:id="4"/>
      <w:r/>
      <w:r/>
    </w:p>
    <w:tbl>
      <w:tblPr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СП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Структурное подразделение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ТТ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Технические требования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ТЭЦ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Теплоэлектроцентраль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СП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Свод правил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ГОСТ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Государственный отраслевой стандарт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ФЗ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Федеральный закон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№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ПП РФ № 719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РФ от 17.07.2015 № 719 «О подтверждении производства российской промышленной продукции»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</w:p>
        </w:tc>
      </w:tr>
    </w:tbl>
    <w:p>
      <w:r/>
      <w:r/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8"/>
        <w:numPr>
          <w:ilvl w:val="1"/>
          <w:numId w:val="3"/>
        </w:numPr>
      </w:pPr>
      <w:r/>
      <w:bookmarkStart w:id="5" w:name="_Toc46743506"/>
      <w:r/>
      <w:bookmarkStart w:id="6" w:name="_Toc75446568"/>
      <w:r>
        <w:t xml:space="preserve">Наименование закупаемой продукции</w:t>
      </w:r>
      <w:bookmarkEnd w:id="5"/>
      <w:r/>
      <w:bookmarkEnd w:id="6"/>
      <w:r/>
      <w:r/>
    </w:p>
    <w:p>
      <w:pPr>
        <w:spacing w:before="120" w:after="120"/>
        <w:widowControl w:val="off"/>
        <w:tabs>
          <w:tab w:val="left" w:pos="426" w:leader="none"/>
        </w:tabs>
        <w:rPr>
          <w:rStyle w:val="1128"/>
          <w:b w:val="0"/>
          <w:bCs/>
          <w:i w:val="0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  <w:t xml:space="preserve">ОКПД2 28.13.14 Поставка насосного оборудования в рамках реализации инвестиционного проекта N_505-ХТЭЦ-1-3" Строительство очистных сооружений (нефтеловушки) для обеспечения очистки сточных вод Хабаровской ТЭЦ-1</w:t>
      </w:r>
      <w:r>
        <w:rPr>
          <w:rFonts w:eastAsia="Calibri"/>
          <w:sz w:val="24"/>
          <w:szCs w:val="24"/>
        </w:rPr>
        <w:t xml:space="preserve">" г. Хабаровск</w:t>
      </w:r>
      <w:r>
        <w:rPr>
          <w:rStyle w:val="1128"/>
          <w:b w:val="0"/>
          <w:bCs/>
          <w:i w:val="0"/>
          <w:sz w:val="24"/>
          <w:szCs w:val="24"/>
        </w:rPr>
      </w:r>
      <w:r>
        <w:rPr>
          <w:rStyle w:val="1128"/>
          <w:b w:val="0"/>
          <w:bCs/>
          <w:i w:val="0"/>
          <w:sz w:val="24"/>
          <w:szCs w:val="24"/>
        </w:rPr>
      </w:r>
    </w:p>
    <w:p>
      <w:pPr>
        <w:pStyle w:val="938"/>
        <w:numPr>
          <w:ilvl w:val="1"/>
          <w:numId w:val="3"/>
        </w:numPr>
        <w:ind w:left="431" w:hanging="431"/>
        <w:spacing w:before="240"/>
      </w:pPr>
      <w:r/>
      <w:bookmarkStart w:id="7" w:name="_Toc46743507"/>
      <w:r>
        <w:t xml:space="preserve">Цель </w:t>
      </w:r>
      <w:bookmarkEnd w:id="7"/>
      <w:r>
        <w:t xml:space="preserve">использования закупаемой продукции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Style w:val="1128"/>
          <w:b w:val="0"/>
          <w:bCs/>
          <w:i w:val="0"/>
          <w:sz w:val="24"/>
          <w:szCs w:val="24"/>
          <w:highlight w:val="white"/>
        </w:rPr>
      </w:pPr>
      <w:r>
        <w:rPr>
          <w:rStyle w:val="1128"/>
          <w:b w:val="0"/>
          <w:bCs/>
          <w:i w:val="0"/>
          <w:sz w:val="24"/>
          <w:szCs w:val="24"/>
          <w:highlight w:val="white"/>
        </w:rPr>
        <w:t xml:space="preserve">Поставка</w:t>
      </w:r>
      <w:r>
        <w:rPr>
          <w:rStyle w:val="1128"/>
          <w:b w:val="0"/>
          <w:bCs/>
          <w:i w:val="0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</w:rPr>
        <w:t xml:space="preserve">насосного оборудования в рамках реализации инвестиционного проекта N_505-ХТЭЦ-1-3" Строительство очистных сооружений (нефтеловушки) для обеспечения очистки сточных вод Хабаровской ТЭЦ-1</w:t>
      </w:r>
      <w:r>
        <w:rPr>
          <w:rFonts w:eastAsia="Calibri"/>
          <w:sz w:val="24"/>
          <w:szCs w:val="24"/>
        </w:rPr>
        <w:t xml:space="preserve">" г. Хабаровск.</w:t>
      </w:r>
      <w:r>
        <w:rPr>
          <w:rStyle w:val="1128"/>
          <w:b w:val="0"/>
          <w:bCs/>
          <w:i w:val="0"/>
          <w:sz w:val="24"/>
          <w:szCs w:val="24"/>
          <w:highlight w:val="white"/>
        </w:rPr>
      </w:r>
      <w:r>
        <w:rPr>
          <w:rStyle w:val="1128"/>
          <w:b w:val="0"/>
          <w:bCs/>
          <w:i w:val="0"/>
          <w:sz w:val="24"/>
          <w:szCs w:val="24"/>
          <w:highlight w:val="white"/>
        </w:rPr>
      </w:r>
    </w:p>
    <w:p>
      <w:pPr>
        <w:pStyle w:val="938"/>
        <w:numPr>
          <w:ilvl w:val="1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</w:r>
      <w:bookmarkStart w:id="8" w:name="_Toc46743509"/>
      <w:r>
        <w:rPr>
          <w:sz w:val="24"/>
          <w:szCs w:val="24"/>
        </w:rPr>
      </w:r>
      <w:bookmarkStart w:id="9" w:name="_Hlk49857604"/>
      <w:r>
        <w:rPr>
          <w:sz w:val="24"/>
          <w:szCs w:val="24"/>
        </w:rPr>
        <w:t xml:space="preserve">Информация в отношении исполнения договора, </w:t>
      </w:r>
      <w:bookmarkStart w:id="10" w:name="_Hlk46492347"/>
      <w:r>
        <w:rPr>
          <w:sz w:val="24"/>
          <w:szCs w:val="24"/>
        </w:rPr>
        <w:t xml:space="preserve">которая должна быть учтена при подготовке заявки </w:t>
      </w:r>
      <w:bookmarkEnd w:id="10"/>
      <w:r>
        <w:rPr>
          <w:sz w:val="24"/>
          <w:szCs w:val="24"/>
        </w:rP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8"/>
      <w:r>
        <w:rPr>
          <w:sz w:val="24"/>
          <w:szCs w:val="24"/>
        </w:rPr>
      </w:r>
      <w:bookmarkEnd w:id="9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contextualSpacing/>
        <w:rPr>
          <w:b w:val="0"/>
          <w:bCs w:val="0"/>
          <w:color w:val="000000" w:themeColor="text1"/>
        </w:rPr>
      </w:pPr>
      <w:r>
        <w:rPr>
          <w:b w:val="0"/>
          <w:bCs w:val="0"/>
          <w:color w:val="000000" w:themeColor="text1"/>
          <w:sz w:val="24"/>
          <w:szCs w:val="24"/>
        </w:rPr>
        <w:t xml:space="preserve">Отсутствует</w:t>
      </w:r>
      <w:r>
        <w:rPr>
          <w:b w:val="0"/>
          <w:bCs w:val="0"/>
          <w:color w:val="000000" w:themeColor="text1"/>
          <w:sz w:val="24"/>
          <w:szCs w:val="24"/>
        </w:rPr>
      </w:r>
      <w:r>
        <w:rPr>
          <w:b w:val="0"/>
          <w:bCs w:val="0"/>
          <w:color w:val="000000" w:themeColor="text1"/>
        </w:rPr>
      </w:r>
    </w:p>
    <w:p>
      <w:pPr>
        <w:spacing w:after="8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after="85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1.5.</w:t>
      </w:r>
      <w:r>
        <w:rPr>
          <w:b/>
          <w:bCs/>
          <w:sz w:val="24"/>
          <w:szCs w:val="24"/>
        </w:rPr>
        <w:tab/>
        <w:t xml:space="preserve">Иные требования и сведения общего характера 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Установлены требования к происхождению поставляемой продукции в соответствии с Постановлением Правительства Российской Федерации от 23 декабря 2024 г</w:t>
      </w:r>
      <w:r>
        <w:rPr>
          <w:sz w:val="24"/>
          <w:szCs w:val="24"/>
        </w:rPr>
        <w:t xml:space="preserve">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по тексту- ПП РФ № 1875).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Поставка насосного оборудования производится в рамках реализации инвестиционного проекта N_505-ХТЭЦ-1-3" Строительство очистных сооружений (нефтеловушки) для обеспечения очистки сточных вод Хабаровской ТЭЦ-1" г. Хабаровск на основании разработанной </w:t>
      </w:r>
      <w:r>
        <w:rPr>
          <w:sz w:val="24"/>
          <w:szCs w:val="24"/>
          <w:highlight w:val="none"/>
        </w:rPr>
        <w:t xml:space="preserve">ООО «КомсомольскТИСИЗ» рабочей документации 23-26001-Р-ТК.1 изм.3 «Очистные сооружения».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5"/>
        <w:ind w:left="357" w:hanging="357"/>
        <w:jc w:val="center"/>
        <w:keepLines/>
        <w:rPr>
          <w:iCs/>
          <w:caps/>
        </w:rPr>
      </w:pPr>
      <w:r/>
      <w:bookmarkStart w:id="11" w:name="_Toc75446573"/>
      <w:r/>
      <w:bookmarkStart w:id="12" w:name="_Toc51339693"/>
      <w:r>
        <w:rPr>
          <w:iCs/>
        </w:rPr>
        <w:t xml:space="preserve">Требования к продукции</w:t>
      </w:r>
      <w:bookmarkEnd w:id="11"/>
      <w:r/>
      <w:bookmarkEnd w:id="12"/>
      <w:r>
        <w:rPr>
          <w:iCs/>
          <w:caps/>
        </w:rPr>
      </w:r>
      <w:r>
        <w:rPr>
          <w:iCs/>
          <w:caps/>
        </w:rPr>
      </w:r>
    </w:p>
    <w:p>
      <w:pPr>
        <w:pStyle w:val="938"/>
        <w:numPr>
          <w:ilvl w:val="1"/>
          <w:numId w:val="3"/>
        </w:numPr>
      </w:pPr>
      <w:r/>
      <w:bookmarkStart w:id="13" w:name="_Toc75446574"/>
      <w:r>
        <w:t xml:space="preserve">Требования к объемам и срокам поставки</w:t>
      </w:r>
      <w:bookmarkEnd w:id="13"/>
      <w:r/>
      <w:r/>
    </w:p>
    <w:p>
      <w:pPr>
        <w:pStyle w:val="937"/>
      </w:pPr>
      <w:r/>
      <w:bookmarkStart w:id="14" w:name="_Toc75446575"/>
      <w:r>
        <w:t xml:space="preserve">Перечень и объем закупаемой продукции</w:t>
      </w:r>
      <w:bookmarkEnd w:id="14"/>
      <w:r/>
      <w:r/>
    </w:p>
    <w:p>
      <w:pPr>
        <w:pStyle w:val="935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5" w:name="_Toc51339695"/>
      <w:r/>
      <w:bookmarkStart w:id="16" w:name="_Toc75446576"/>
      <w:r>
        <w:rPr>
          <w:sz w:val="24"/>
          <w:szCs w:val="24"/>
        </w:rPr>
        <w:t xml:space="preserve">Таблица 1.1 Перечень </w:t>
      </w:r>
      <w:bookmarkEnd w:id="15"/>
      <w:r>
        <w:rPr>
          <w:sz w:val="24"/>
          <w:szCs w:val="24"/>
        </w:rPr>
        <w:t xml:space="preserve">и объем закупаемой продукции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12" w:type="dxa"/>
        <w:tblInd w:w="221" w:type="dxa"/>
        <w:tblLayout w:type="fixed"/>
        <w:tblLook w:val="0000" w:firstRow="0" w:lastRow="0" w:firstColumn="0" w:lastColumn="0" w:noHBand="0" w:noVBand="0"/>
      </w:tblPr>
      <w:tblGrid>
        <w:gridCol w:w="833"/>
        <w:gridCol w:w="5980"/>
        <w:gridCol w:w="1386"/>
        <w:gridCol w:w="161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7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6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3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79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6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3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textDirection w:val="lrTb"/>
            <w:noWrap w:val="false"/>
          </w:tcPr>
          <w:p>
            <w:pPr>
              <w:pStyle w:val="1190"/>
              <w:numPr>
                <w:ilvl w:val="0"/>
                <w:numId w:val="6"/>
              </w:numPr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79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  <w:t xml:space="preserve">Насос погружной фекальный Иртыш ПФЗ 150/400.395.Ч-75/4-106 с опускным устройством (без направляющих) </w:t>
            </w:r>
            <w:r>
              <w:rPr>
                <w:i/>
                <w:iCs/>
                <w:sz w:val="24"/>
                <w:szCs w:val="24"/>
              </w:rPr>
              <w:t xml:space="preserve">или эквивалент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3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vMerge w:val="restart"/>
            <w:textDirection w:val="lrTb"/>
            <w:noWrap w:val="false"/>
          </w:tcPr>
          <w:p>
            <w:pPr>
              <w:pStyle w:val="1190"/>
              <w:numPr>
                <w:ilvl w:val="0"/>
                <w:numId w:val="6"/>
              </w:numPr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7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Style w:val="1128"/>
                <w:b w:val="0"/>
                <w:bCs/>
                <w:i w:val="0"/>
                <w:sz w:val="24"/>
                <w:szCs w:val="24"/>
                <w:highlight w:val="white"/>
              </w:rPr>
            </w:pPr>
            <w:r>
              <w:rPr>
                <w:rStyle w:val="1128"/>
                <w:b w:val="0"/>
                <w:bCs/>
                <w:i w:val="0"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</w:rPr>
              <w:t xml:space="preserve">Шкаф управления ШУ1-3.75.Ч3.6-31 или </w:t>
            </w:r>
            <w:r>
              <w:rPr>
                <w:i/>
                <w:iCs/>
                <w:sz w:val="24"/>
                <w:szCs w:val="24"/>
              </w:rPr>
              <w:t xml:space="preserve">эквивалент</w:t>
            </w:r>
            <w:r>
              <w:rPr>
                <w:rStyle w:val="1128"/>
                <w:b w:val="0"/>
                <w:bCs/>
                <w:i w:val="0"/>
                <w:sz w:val="24"/>
                <w:szCs w:val="24"/>
                <w:highlight w:val="white"/>
              </w:rPr>
            </w:r>
            <w:r>
              <w:rPr>
                <w:rStyle w:val="1128"/>
                <w:b w:val="0"/>
                <w:bCs/>
                <w:i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6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3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Cs/>
          <w:i/>
          <w:sz w:val="24"/>
          <w:szCs w:val="24"/>
          <w:shd w:val="clear" w:color="auto" w:fill="ffff99"/>
        </w:rPr>
      </w:pP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</w:p>
    <w:p>
      <w:pPr>
        <w:pStyle w:val="935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21" w:name="_Toc75446577"/>
      <w:r>
        <w:rPr>
          <w:sz w:val="24"/>
          <w:szCs w:val="24"/>
        </w:rPr>
        <w:t xml:space="preserve">Таблица 1.2 Перечень и объем закупаемых сопутствующих услуг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10" w:type="dxa"/>
        <w:tblInd w:w="221" w:type="dxa"/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91"/>
        <w:gridCol w:w="212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1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0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1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0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190"/>
              <w:numPr>
                <w:ilvl w:val="0"/>
                <w:numId w:val="8"/>
              </w:numPr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Услуги по шеф-монтажным и пусконаладочным работам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Условная единица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Cs/>
          <w:i/>
          <w:sz w:val="24"/>
          <w:szCs w:val="24"/>
          <w:shd w:val="clear" w:color="auto" w:fill="ffff99"/>
        </w:rPr>
      </w:pP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</w:p>
    <w:p>
      <w:pPr>
        <w:pStyle w:val="937"/>
      </w:pPr>
      <w:r/>
      <w:bookmarkStart w:id="23" w:name="_Toc51339696"/>
      <w:r/>
      <w:bookmarkStart w:id="24" w:name="_Toc75446578"/>
      <w:r>
        <w:t xml:space="preserve">Требования </w:t>
      </w:r>
      <w:bookmarkEnd w:id="23"/>
      <w:r>
        <w:t xml:space="preserve">к срокам поставки продукции и оказания сопутствующих услуг</w:t>
      </w:r>
      <w:bookmarkEnd w:id="24"/>
      <w:r/>
      <w:r/>
    </w:p>
    <w:p>
      <w:pPr>
        <w:pStyle w:val="935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25" w:name="_Toc50125126"/>
      <w:r/>
      <w:bookmarkStart w:id="26" w:name="_Toc51339697"/>
      <w:r/>
      <w:bookmarkStart w:id="27" w:name="_Toc50125127"/>
      <w:r/>
      <w:bookmarkStart w:id="28" w:name="_Toc75446579"/>
      <w:r/>
      <w:bookmarkEnd w:id="25"/>
      <w:r>
        <w:rPr>
          <w:sz w:val="24"/>
          <w:szCs w:val="24"/>
        </w:rPr>
        <w:t xml:space="preserve">Таблица 2.1 </w:t>
      </w:r>
      <w:bookmarkStart w:id="29" w:name="_Hlk50465284"/>
      <w:r>
        <w:rPr>
          <w:sz w:val="24"/>
          <w:szCs w:val="24"/>
        </w:rPr>
        <w:t xml:space="preserve">Требования по срокам </w:t>
      </w:r>
      <w:bookmarkEnd w:id="26"/>
      <w:r/>
      <w:bookmarkEnd w:id="27"/>
      <w:r/>
      <w:bookmarkEnd w:id="29"/>
      <w:r>
        <w:rPr>
          <w:sz w:val="24"/>
          <w:szCs w:val="24"/>
        </w:rPr>
        <w:t xml:space="preserve">поставки продукции</w:t>
      </w:r>
      <w:bookmarkEnd w:id="28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2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101"/>
        <w:gridCol w:w="3718"/>
        <w:gridCol w:w="2551"/>
        <w:gridCol w:w="2659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продукции / партии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pStyle w:val="1205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pStyle w:val="1205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3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1190"/>
              <w:numPr>
                <w:ilvl w:val="0"/>
                <w:numId w:val="7"/>
              </w:numPr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8" w:type="dxa"/>
            <w:textDirection w:val="lrTb"/>
            <w:noWrap w:val="false"/>
          </w:tcPr>
          <w:p>
            <w:pPr>
              <w:widowControl w:val="off"/>
              <w:rPr>
                <w:rStyle w:val="1128"/>
                <w:b w:val="0"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rStyle w:val="1128"/>
                <w:b w:val="0"/>
                <w:bCs/>
                <w:i w:val="0"/>
                <w:sz w:val="24"/>
                <w:szCs w:val="24"/>
                <w:highlight w:val="white"/>
              </w:rPr>
            </w:r>
            <w:r>
              <w:rPr>
                <w:rStyle w:val="1128"/>
                <w:b w:val="0"/>
                <w:bCs/>
                <w:i w:val="0"/>
                <w:sz w:val="24"/>
                <w:szCs w:val="24"/>
                <w:highlight w:val="white"/>
              </w:rPr>
              <w:t xml:space="preserve">Насос погружной фекальный Иртыш ПФЗ 150/400.395.Ч-75/4-106 с опускным устройством (без направляющих)</w:t>
            </w:r>
            <w:r>
              <w:rPr>
                <w:rStyle w:val="1128"/>
                <w:b w:val="0"/>
                <w:bCs w:val="0"/>
                <w:i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или эквивалент</w:t>
            </w:r>
            <w:r>
              <w:rPr>
                <w:rStyle w:val="1128"/>
                <w:b w:val="0"/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rStyle w:val="1128"/>
                <w:b w:val="0"/>
                <w:bCs w:val="0"/>
                <w:i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 даты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получения Заявки от Покупателя в 2026 году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widowControl w:val="off"/>
              <w:rPr>
                <w:color w:val="ff0000"/>
                <w:sz w:val="24"/>
                <w:szCs w:val="24"/>
                <w:highlight w:val="white"/>
              </w:rPr>
            </w:pPr>
            <w:r>
              <w:rPr>
                <w:color w:val="ff0000"/>
                <w:sz w:val="24"/>
                <w:szCs w:val="24"/>
                <w:highlight w:val="white"/>
              </w:rPr>
            </w:r>
            <w:r>
              <w:rPr>
                <w:color w:val="ff0000"/>
                <w:sz w:val="24"/>
                <w:szCs w:val="24"/>
                <w:highlight w:val="white"/>
              </w:rPr>
            </w:r>
            <w:r>
              <w:rPr>
                <w:color w:val="ff0000"/>
                <w:sz w:val="24"/>
                <w:szCs w:val="24"/>
                <w:highlight w:val="white"/>
              </w:rPr>
            </w:r>
          </w:p>
          <w:p>
            <w:pPr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pStyle w:val="1205"/>
              <w:jc w:val="center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В течение 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90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 календарных дней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 с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даты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получения Заявки от Покупателя в 2026 году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205"/>
              <w:jc w:val="center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sz w:val="24"/>
                <w:szCs w:val="24"/>
                <w:highlight w:val="yellow"/>
              </w:rPr>
            </w:r>
            <w:r>
              <w:rPr>
                <w:b w:val="0"/>
                <w:bCs w:val="0"/>
                <w:sz w:val="24"/>
                <w:szCs w:val="24"/>
                <w:highlight w:val="yellow"/>
              </w:rPr>
            </w:r>
          </w:p>
          <w:p>
            <w:pPr>
              <w:jc w:val="center"/>
              <w:widowControl w:val="off"/>
              <w:rPr>
                <w:rStyle w:val="1128"/>
                <w:b w:val="0"/>
                <w:i w:val="0"/>
                <w:sz w:val="24"/>
                <w:szCs w:val="24"/>
                <w:highlight w:val="yellow"/>
              </w:rPr>
            </w:pPr>
            <w:r>
              <w:rPr>
                <w:rStyle w:val="1128"/>
                <w:b w:val="0"/>
                <w:i w:val="0"/>
                <w:sz w:val="24"/>
                <w:szCs w:val="24"/>
                <w:highlight w:val="yellow"/>
              </w:rPr>
            </w:r>
            <w:r>
              <w:rPr>
                <w:rStyle w:val="1128"/>
                <w:b w:val="0"/>
                <w:i w:val="0"/>
                <w:sz w:val="24"/>
                <w:szCs w:val="24"/>
                <w:highlight w:val="yellow"/>
              </w:rPr>
            </w:r>
            <w:r>
              <w:rPr>
                <w:rStyle w:val="1128"/>
                <w:b w:val="0"/>
                <w:i w:val="0"/>
                <w:sz w:val="24"/>
                <w:szCs w:val="24"/>
                <w:highlight w:val="yellow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Style w:val="1128"/>
                <w:b w:val="0"/>
                <w:bCs/>
                <w:i w:val="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3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vMerge w:val="restart"/>
            <w:textDirection w:val="lrTb"/>
            <w:noWrap w:val="false"/>
          </w:tcPr>
          <w:p>
            <w:pPr>
              <w:pStyle w:val="1190"/>
              <w:numPr>
                <w:ilvl w:val="0"/>
                <w:numId w:val="7"/>
              </w:numPr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18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bCs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Style w:val="1128"/>
                <w:b w:val="0"/>
                <w:bCs/>
                <w:i w:val="0"/>
                <w:sz w:val="24"/>
                <w:szCs w:val="24"/>
                <w:highlight w:val="white"/>
              </w:rPr>
            </w:r>
            <w:r>
              <w:rPr>
                <w:rStyle w:val="1128"/>
                <w:b w:val="0"/>
                <w:bCs/>
                <w:i w:val="0"/>
                <w:sz w:val="24"/>
                <w:szCs w:val="24"/>
                <w:highlight w:val="white"/>
              </w:rPr>
              <w:t xml:space="preserve">Шкаф управления ШУ1-3.75.Ч3.6-31</w:t>
            </w:r>
            <w:r>
              <w:rPr>
                <w:rStyle w:val="1128"/>
                <w:b w:val="0"/>
                <w:bCs/>
                <w:i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Style w:val="1128"/>
                <w:b w:val="0"/>
                <w:bCs/>
                <w:i w:val="0"/>
                <w:sz w:val="24"/>
                <w:szCs w:val="24"/>
                <w:highlight w:val="white"/>
              </w:rPr>
              <w:t xml:space="preserve">и</w:t>
            </w:r>
            <w:r>
              <w:rPr>
                <w:rStyle w:val="1128"/>
                <w:b w:val="0"/>
                <w:bCs/>
                <w:i w:val="0"/>
                <w:sz w:val="24"/>
                <w:szCs w:val="24"/>
                <w:highlight w:val="white"/>
              </w:rPr>
              <w:t xml:space="preserve">л</w:t>
            </w:r>
            <w:r>
              <w:rPr>
                <w:rStyle w:val="1128"/>
                <w:b w:val="0"/>
                <w:bCs/>
                <w:i w:val="0"/>
                <w:sz w:val="24"/>
                <w:szCs w:val="24"/>
                <w:highlight w:val="white"/>
              </w:rPr>
              <w:t xml:space="preserve">и</w:t>
            </w:r>
            <w:r>
              <w:rPr>
                <w:rStyle w:val="1128"/>
                <w:b w:val="0"/>
                <w:bCs/>
                <w:i w:val="0"/>
                <w:sz w:val="24"/>
                <w:szCs w:val="24"/>
                <w:highlight w:val="white"/>
              </w:rPr>
              <w:t xml:space="preserve"> </w:t>
            </w:r>
            <w:r>
              <w:rPr>
                <w:i w:val="0"/>
                <w:iCs w:val="0"/>
                <w:sz w:val="24"/>
                <w:szCs w:val="24"/>
              </w:rPr>
              <w:t xml:space="preserve">эквивалент</w:t>
            </w:r>
            <w:r>
              <w:rPr>
                <w:bCs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bCs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142" w:right="0" w:firstLine="0"/>
        <w:rPr>
          <w:highlight w:val="none"/>
        </w:rPr>
      </w:pPr>
      <w:r/>
      <w:bookmarkStart w:id="34" w:name="_Toc46743510"/>
      <w:r/>
      <w:bookmarkEnd w:id="34"/>
      <w:r>
        <w:rPr>
          <w:b/>
          <w:bCs/>
          <w:sz w:val="24"/>
          <w:szCs w:val="24"/>
          <w:highlight w:val="yellow"/>
          <w:lang w:val="ru-RU"/>
        </w:rPr>
        <w:t xml:space="preserve">Внимание!</w:t>
      </w:r>
      <w:r>
        <w:rPr>
          <w:sz w:val="24"/>
          <w:szCs w:val="24"/>
          <w:highlight w:val="none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 xml:space="preserve">Сроки поставки продукции указываются Участником в Календарном графике (форма 5) (Приложение №4 к ДоЗ-ОБРАЗЦЫ ФОРМ ДОКУМЕНТОВ) в составе первой части заявки.</w:t>
      </w:r>
      <w:r/>
      <w:r>
        <w:rPr>
          <w:highlight w:val="none"/>
        </w:rPr>
      </w:r>
      <w:r>
        <w:rPr>
          <w:highlight w:val="none"/>
        </w:rPr>
      </w:r>
    </w:p>
    <w:p>
      <w:r>
        <w:rPr>
          <w:highlight w:val="none"/>
        </w:rPr>
      </w:r>
      <w:r>
        <w:rPr>
          <w:highlight w:val="none"/>
        </w:rPr>
      </w:r>
      <w:r/>
    </w:p>
    <w:p>
      <w:pPr>
        <w:pStyle w:val="935"/>
        <w:numPr>
          <w:ilvl w:val="0"/>
          <w:numId w:val="0"/>
        </w:numPr>
        <w:rPr>
          <w:sz w:val="24"/>
          <w:szCs w:val="24"/>
        </w:rPr>
      </w:pPr>
      <w:r/>
      <w:bookmarkStart w:id="35" w:name="_Toc75446580"/>
      <w:r>
        <w:rPr>
          <w:sz w:val="24"/>
          <w:szCs w:val="24"/>
        </w:rPr>
        <w:t xml:space="preserve">Таблица 2.2 Требования по срокам оказания сопутствующих услуг</w:t>
      </w:r>
      <w:bookmarkEnd w:id="35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81" w:type="dxa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1842"/>
        <w:gridCol w:w="2267"/>
        <w:gridCol w:w="2558"/>
        <w:gridCol w:w="113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pStyle w:val="1205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8" w:type="dxa"/>
            <w:vAlign w:val="center"/>
            <w:textDirection w:val="lrTb"/>
            <w:noWrap w:val="false"/>
          </w:tcPr>
          <w:p>
            <w:pPr>
              <w:pStyle w:val="1205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1205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1205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8" w:type="dxa"/>
            <w:textDirection w:val="lrTb"/>
            <w:noWrap w:val="false"/>
          </w:tcPr>
          <w:p>
            <w:pPr>
              <w:pStyle w:val="1205"/>
              <w:jc w:val="center"/>
              <w:keepNext w:val="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1205"/>
              <w:jc w:val="center"/>
              <w:keepNext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7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Насосное оборудование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Шеф-монтажные работы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С даты уведомления Поставщика о готовности объекта к проведению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Шеф-монтажных работ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в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2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0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2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6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г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о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д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у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Н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е более 10 (десяти) календарных дней с даты уведомления о готовности объекта к пров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едению Шеф-монтажных работ в 2026 году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Пусконаладочные работы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С даты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уведомления Поставщика о готовности объекта к проведению пусконаладочных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работ в 2026 году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Не более 10 (десяти) календарных дней с даты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уведомления о готовности объекта к проведению пусконаладочных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работ в 2026 году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ind w:left="142" w:right="0" w:firstLine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b/>
          <w:bCs/>
          <w:sz w:val="24"/>
          <w:szCs w:val="24"/>
          <w:highlight w:val="yellow"/>
          <w:lang w:val="ru-RU"/>
        </w:rPr>
        <w:t xml:space="preserve">Внимание!</w:t>
      </w:r>
      <w:r>
        <w:rPr>
          <w:sz w:val="24"/>
          <w:szCs w:val="24"/>
          <w:highlight w:val="none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 xml:space="preserve">Сроки выполнения шеф-монтажных и пусконаладочных работ указываются Участником в Календарном графике (форма 5) (Приложение №4 к ДоЗ-ОБРАЗЦЫ ФОРМ ДОКУМЕНТОВ) в составе первой части заявки.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left="142" w:right="0" w:firstLine="0"/>
        <w:widowControl w:val="off"/>
        <w:rPr>
          <w:sz w:val="24"/>
          <w:szCs w:val="24"/>
          <w:highlight w:val="white"/>
        </w:rPr>
      </w:pPr>
      <w:r>
        <w:rPr>
          <w:b w:val="0"/>
          <w:bCs w:val="0"/>
          <w:i/>
          <w:iCs/>
          <w:sz w:val="24"/>
          <w:szCs w:val="24"/>
          <w:highlight w:val="none"/>
        </w:rPr>
      </w:r>
      <w:r>
        <w:rPr>
          <w:b w:val="0"/>
          <w:bCs w:val="0"/>
          <w:i/>
          <w:iCs/>
          <w:sz w:val="24"/>
          <w:szCs w:val="24"/>
          <w:highlight w:val="none"/>
        </w:rPr>
      </w:r>
    </w:p>
    <w:p>
      <w:pPr>
        <w:ind w:left="142" w:right="0" w:firstLine="0"/>
        <w:widowControl w:val="off"/>
        <w:rPr>
          <w:b w:val="0"/>
          <w:bCs/>
          <w:i/>
          <w:sz w:val="24"/>
          <w:szCs w:val="24"/>
          <w:highlight w:val="none"/>
        </w:rPr>
      </w:pPr>
      <w:r>
        <w:rPr>
          <w:i/>
          <w:iCs/>
          <w:sz w:val="24"/>
          <w:szCs w:val="24"/>
          <w:highlight w:val="white"/>
        </w:rPr>
        <w:t xml:space="preserve">Начало исполнения обязательств по договору: </w:t>
      </w:r>
      <w:r>
        <w:rPr>
          <w:i/>
          <w:iCs/>
          <w:sz w:val="24"/>
          <w:szCs w:val="24"/>
          <w:highlight w:val="white"/>
        </w:rPr>
        <w:t xml:space="preserve">С даты </w:t>
      </w:r>
      <w:r>
        <w:rPr>
          <w:b w:val="0"/>
          <w:bCs w:val="0"/>
          <w:i/>
          <w:iCs/>
          <w:sz w:val="24"/>
          <w:szCs w:val="24"/>
          <w:highlight w:val="white"/>
        </w:rPr>
        <w:t xml:space="preserve">получения Заявки от Покупателя в 2026 году.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i/>
          <w:iCs/>
          <w:sz w:val="24"/>
          <w:szCs w:val="24"/>
          <w:highlight w:val="white"/>
        </w:rPr>
        <w:t xml:space="preserve">Окончание исполнения обязательств по договору: не более </w:t>
      </w:r>
      <w:r>
        <w:rPr>
          <w:i/>
          <w:iCs/>
          <w:sz w:val="24"/>
          <w:szCs w:val="24"/>
          <w:highlight w:val="white"/>
        </w:rPr>
        <w:t xml:space="preserve">110</w:t>
      </w:r>
      <w:r>
        <w:rPr>
          <w:i/>
          <w:iCs/>
          <w:sz w:val="24"/>
          <w:szCs w:val="24"/>
          <w:highlight w:val="white"/>
        </w:rPr>
        <w:t xml:space="preserve"> (ст</w:t>
      </w:r>
      <w:r>
        <w:rPr>
          <w:i/>
          <w:iCs/>
          <w:sz w:val="24"/>
          <w:szCs w:val="24"/>
          <w:highlight w:val="white"/>
        </w:rPr>
        <w:t xml:space="preserve">а десяти</w:t>
      </w:r>
      <w:r>
        <w:rPr>
          <w:i/>
          <w:iCs/>
          <w:sz w:val="24"/>
          <w:szCs w:val="24"/>
          <w:highlight w:val="white"/>
        </w:rPr>
        <w:t xml:space="preserve">) календарных дней с дат</w:t>
      </w:r>
      <w:r>
        <w:rPr>
          <w:i/>
          <w:iCs/>
          <w:sz w:val="24"/>
          <w:szCs w:val="24"/>
          <w:highlight w:val="white"/>
        </w:rPr>
        <w:t xml:space="preserve">ы </w:t>
      </w:r>
      <w:r>
        <w:rPr>
          <w:b w:val="0"/>
          <w:bCs w:val="0"/>
          <w:i/>
          <w:iCs/>
          <w:sz w:val="24"/>
          <w:szCs w:val="24"/>
          <w:highlight w:val="white"/>
        </w:rPr>
        <w:t xml:space="preserve">получения Заявки от Покупателя в 2026 году</w:t>
      </w:r>
      <w:r>
        <w:rPr>
          <w:b w:val="0"/>
          <w:bCs w:val="0"/>
          <w:i/>
          <w:iCs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b w:val="0"/>
          <w:bCs/>
          <w:i/>
          <w:sz w:val="24"/>
          <w:szCs w:val="24"/>
          <w:highlight w:val="none"/>
        </w:rPr>
      </w:r>
    </w:p>
    <w:p>
      <w:r/>
      <w:r/>
    </w:p>
    <w:p>
      <w:pPr>
        <w:sectPr>
          <w:headerReference w:type="default" r:id="rId9"/>
          <w:headerReference w:type="even" r:id="rId10"/>
          <w:headerReference w:type="first" r:id="rId11"/>
          <w:footnotePr>
            <w:numRestart w:val="eachPage"/>
          </w:footnotePr>
          <w:endnotePr/>
          <w:type w:val="nextPage"/>
          <w:pgSz w:w="11906" w:h="16838" w:orient="portrait"/>
          <w:pgMar w:top="1134" w:right="851" w:bottom="992" w:left="1134" w:header="68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938"/>
        <w:numPr>
          <w:ilvl w:val="1"/>
          <w:numId w:val="3"/>
        </w:numPr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bookmarkStart w:id="36" w:name="_Toc46743511"/>
      <w:r>
        <w:rPr>
          <w:sz w:val="22"/>
          <w:szCs w:val="22"/>
          <w:highlight w:val="white"/>
        </w:rPr>
      </w:r>
      <w:bookmarkStart w:id="37" w:name="_Toc75446581"/>
      <w:r>
        <w:rPr>
          <w:sz w:val="22"/>
          <w:szCs w:val="22"/>
          <w:highlight w:val="white"/>
        </w:rPr>
      </w:r>
      <w:bookmarkStart w:id="38" w:name="_Toc51339698"/>
      <w:r>
        <w:rPr>
          <w:b/>
          <w:bCs/>
          <w:sz w:val="22"/>
          <w:szCs w:val="22"/>
          <w:highlight w:val="white"/>
        </w:rPr>
        <w:t xml:space="preserve">Тре</w:t>
      </w:r>
      <w:r>
        <w:rPr>
          <w:sz w:val="22"/>
          <w:szCs w:val="22"/>
          <w:highlight w:val="white"/>
        </w:rPr>
        <w:t xml:space="preserve">бования к </w:t>
      </w:r>
      <w:bookmarkEnd w:id="36"/>
      <w:r>
        <w:rPr>
          <w:sz w:val="22"/>
          <w:szCs w:val="22"/>
          <w:highlight w:val="white"/>
        </w:rPr>
        <w:t xml:space="preserve">качеству продукции</w:t>
      </w:r>
      <w:bookmarkEnd w:id="37"/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935"/>
        <w:numPr>
          <w:ilvl w:val="0"/>
          <w:numId w:val="0"/>
        </w:numPr>
        <w:keepLines/>
        <w:spacing w:before="240"/>
        <w:rPr>
          <w:sz w:val="22"/>
          <w:szCs w:val="22"/>
        </w:rPr>
      </w:pPr>
      <w:r>
        <w:rPr>
          <w:sz w:val="22"/>
          <w:szCs w:val="22"/>
        </w:rPr>
      </w:r>
      <w:bookmarkStart w:id="39" w:name="_Toc75446582"/>
      <w:r>
        <w:rPr>
          <w:sz w:val="22"/>
          <w:szCs w:val="22"/>
        </w:rPr>
        <w:t xml:space="preserve">Таблица 3. Требования к продукции</w:t>
      </w:r>
      <w:bookmarkEnd w:id="38"/>
      <w:r>
        <w:rPr>
          <w:sz w:val="22"/>
          <w:szCs w:val="22"/>
        </w:rPr>
      </w:r>
      <w:bookmarkEnd w:id="39"/>
      <w:r>
        <w:rPr>
          <w:sz w:val="22"/>
          <w:szCs w:val="22"/>
        </w:rPr>
        <w:t xml:space="preserve">  </w:t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0" w:type="auto"/>
        <w:tblInd w:w="-1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1698"/>
        <w:gridCol w:w="1673"/>
        <w:gridCol w:w="25"/>
        <w:gridCol w:w="4"/>
        <w:gridCol w:w="3393"/>
        <w:gridCol w:w="2517"/>
        <w:gridCol w:w="1259"/>
        <w:gridCol w:w="1259"/>
        <w:gridCol w:w="2517"/>
      </w:tblGrid>
      <w:tr>
        <w:tblPrEx/>
        <w:trPr>
          <w:trHeight w:val="0"/>
        </w:trPr>
        <w:tc>
          <w:tcPr>
            <w:tcW w:w="725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tcW w:w="340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39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503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4"/>
            <w:tcW w:w="340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39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251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1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0"/>
        </w:trPr>
        <w:tc>
          <w:tcPr>
            <w:tcW w:w="72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5"/>
            <w:tcW w:w="67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423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5"/>
            <w:tcW w:w="679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000000" w:themeColor="text1"/>
                <w:sz w:val="24"/>
                <w:szCs w:val="24"/>
              </w:rPr>
              <w:t xml:space="preserve">Насос погружной фекальный Иртыш ПФЗ 150/400.395.Ч-75/4-106 с опускным устройством (без направляющих)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или эквивалент (Приложение № 1 к настоящим ТТ)</w:t>
            </w:r>
            <w:r>
              <w:rPr>
                <w:b/>
                <w:bCs w:val="0"/>
                <w:i w:val="0"/>
                <w:color w:val="000000" w:themeColor="text1"/>
                <w:sz w:val="24"/>
                <w:szCs w:val="24"/>
              </w:rPr>
            </w:r>
            <w:r>
              <w:rPr>
                <w:b/>
                <w:bCs w:val="0"/>
                <w:i w:val="0"/>
                <w:color w:val="000000" w:themeColor="text1"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423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5"/>
            <w:tcW w:w="679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техническим и функциональным характеристикам (включая гарантируемые показатели)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1.1.1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Количество, шт.</w:t>
            </w:r>
            <w:r>
              <w:rPr>
                <w:spacing w:val="2"/>
                <w:sz w:val="24"/>
                <w:szCs w:val="24"/>
              </w:rPr>
            </w:r>
            <w:r>
              <w:rPr>
                <w:spacing w:val="2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bCs w:val="0"/>
                <w:i w:val="0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</w:t>
            </w:r>
            <w:r>
              <w:rPr>
                <w:i w:val="0"/>
                <w:iCs w:val="0"/>
                <w:sz w:val="24"/>
                <w:szCs w:val="24"/>
              </w:rPr>
              <w:t xml:space="preserve"> 3 (три)</w:t>
            </w:r>
            <w:r>
              <w:rPr>
                <w:bCs w:val="0"/>
                <w:i w:val="0"/>
                <w:iCs/>
                <w:sz w:val="24"/>
                <w:szCs w:val="24"/>
              </w:rPr>
            </w:r>
            <w:r>
              <w:rPr>
                <w:bCs w:val="0"/>
                <w:i w:val="0"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Указание количества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1.1.2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</w:rPr>
              <w:t xml:space="preserve">Расход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bCs/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 от 150 до 270 м3/ч</w:t>
            </w:r>
            <w:r>
              <w:rPr>
                <w:bCs/>
                <w:i w:val="0"/>
                <w:iCs w:val="0"/>
                <w:sz w:val="24"/>
                <w:szCs w:val="24"/>
              </w:rPr>
            </w:r>
            <w:r>
              <w:rPr>
                <w:bCs/>
                <w:i w:val="0"/>
                <w:i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W w:w="251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Указание характеристик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1.1.3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Напор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от 52,3 до 56,5 м.в.с.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Указание характеристик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518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253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1.1.4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</w:rPr>
              <w:t xml:space="preserve">Параметры насоса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bCs w:val="0"/>
                <w:i w:val="0"/>
                <w:iCs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  <w:t xml:space="preserve">150/400.395.Ч.82-75/4-106</w:t>
            </w:r>
            <w:r>
              <w:rPr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i w:val="0"/>
                <w:iCs w:val="0"/>
                <w:sz w:val="24"/>
                <w:szCs w:val="24"/>
              </w:rPr>
              <w:t xml:space="preserve">Q=250м3/ч; Н=53м, N=75 кВт, n=1500об/мин; U=380В; «Ч» в маркировке – насос подготовлен для работы с частотным преобразователем, материал проточной части – чугун СЧ20</w:t>
            </w:r>
            <w:r>
              <w:rPr>
                <w:bCs w:val="0"/>
                <w:i w:val="0"/>
                <w:iCs/>
                <w:sz w:val="24"/>
                <w:szCs w:val="24"/>
              </w:rPr>
            </w:r>
            <w:r>
              <w:rPr>
                <w:bCs w:val="0"/>
                <w:i w:val="0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погружной электродвигатель без принудительного охлаждения (П);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гидравлическая часть насоса предназначена для перекачивания сточных вод (Ф);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в насосе установлено трехканальное рабочее колесо (3);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номинальный диаметр напорного патрубка (150мм);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номинальный диаметр рабочего колеса (400мм);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фактический диаметр рабочего колеса (395мм);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для совместной работы с частотным преобразователем (Ч);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без обозначения, стандартная длина кабеля 10 метров;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номинальная мощность электродвигателя, кВт (75);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число полюсов электродвигателя (4);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монтаж на опускном устройстве вертикальный (1);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влаго-термозащита (6);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Указание характеристик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4"/>
            <w:tcW w:w="340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39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1.1.5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textDirection w:val="lrTb"/>
            <w:noWrap w:val="false"/>
          </w:tcPr>
          <w:p>
            <w:pPr>
              <w:pStyle w:val="1232"/>
              <w:ind w:left="0"/>
              <w:jc w:val="center"/>
              <w:spacing w:line="240" w:lineRule="auto"/>
              <w:rPr>
                <w:b/>
                <w:sz w:val="18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Параметры рабочей точки</w: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3393" w:type="dxa"/>
            <w:vAlign w:val="center"/>
            <w:textDirection w:val="lrTb"/>
            <w:noWrap w:val="false"/>
          </w:tcPr>
          <w:p>
            <w:pPr>
              <w:pStyle w:val="1232"/>
              <w:ind w:left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Производительность</w:t>
            </w:r>
            <w:r>
              <w:rPr>
                <w:sz w:val="22"/>
                <w:szCs w:val="22"/>
              </w:rPr>
              <w:t xml:space="preserve">, Q - </w:t>
            </w:r>
            <w:r>
              <w:rPr>
                <w:sz w:val="22"/>
                <w:szCs w:val="22"/>
              </w:rPr>
              <w:t xml:space="preserve">250</w:t>
            </w:r>
            <w:r>
              <w:rPr>
                <w:sz w:val="22"/>
                <w:szCs w:val="22"/>
              </w:rPr>
              <w:t xml:space="preserve">м3/ч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232"/>
              <w:ind w:left="0"/>
              <w:jc w:val="left"/>
              <w:spacing w:line="240" w:lineRule="auto"/>
              <w:rPr>
                <w:sz w:val="18"/>
                <w:szCs w:val="18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Потребляемая мощность в рабочей точке, Nпотр - 71</w:t>
            </w:r>
            <w:r>
              <w:rPr>
                <w:sz w:val="18"/>
              </w:rPr>
              <w:t xml:space="preserve">кВт;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1232"/>
              <w:ind w:left="0"/>
              <w:jc w:val="left"/>
              <w:spacing w:line="240" w:lineRule="auto"/>
              <w:rPr>
                <w:sz w:val="18"/>
                <w:szCs w:val="18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КПД агрегата, η - </w:t>
            </w:r>
            <w:r>
              <w:rPr>
                <w:sz w:val="22"/>
                <w:szCs w:val="22"/>
                <w:highlight w:val="none"/>
              </w:rPr>
              <w:t xml:space="preserve">47 </w:t>
            </w:r>
            <w:r>
              <w:rPr>
                <w:sz w:val="18"/>
              </w:rPr>
              <w:t xml:space="preserve">%</w:t>
            </w:r>
            <w:r>
              <w:rPr>
                <w:sz w:val="18"/>
              </w:rPr>
              <w:t xml:space="preserve">;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W w:w="251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Указание характеристик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1.1.6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textDirection w:val="lrTb"/>
            <w:noWrap w:val="false"/>
          </w:tcPr>
          <w:p>
            <w:pPr>
              <w:pStyle w:val="1232"/>
              <w:ind w:left="0"/>
              <w:jc w:val="center"/>
              <w:spacing w:line="240" w:lineRule="auto"/>
              <w:rPr>
                <w:b/>
                <w:sz w:val="18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Характеристики насоса</w: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W w:w="339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Вариант монтажа насоса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монтаж на опускном устройстве вертикальный;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Условный диаметр напорного патрубка, </w:t>
            </w:r>
            <w:r>
              <w:rPr>
                <w:sz w:val="22"/>
                <w:szCs w:val="22"/>
              </w:rPr>
              <w:t xml:space="preserve">Ду 150 </w:t>
            </w:r>
            <w:r>
              <w:rPr>
                <w:sz w:val="22"/>
                <w:szCs w:val="22"/>
              </w:rPr>
              <w:t xml:space="preserve">мм;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232"/>
              <w:ind w:left="0"/>
              <w:jc w:val="left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Тип рабочего колеса - </w:t>
            </w:r>
            <w:r>
              <w:rPr>
                <w:sz w:val="22"/>
                <w:szCs w:val="22"/>
              </w:rPr>
              <w:t xml:space="preserve">трехканальное;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232"/>
              <w:ind w:left="0"/>
              <w:jc w:val="left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Фактический диаметр рабочего колеса - 395 мм;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232"/>
              <w:ind w:left="0"/>
              <w:jc w:val="left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Рекомендуемая глубина погружения – не более 10м;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232"/>
              <w:ind w:left="0"/>
              <w:jc w:val="left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Максимальный размер перекачиваемых частиц - 70мм;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232"/>
              <w:ind w:left="0"/>
              <w:jc w:val="left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Тип уплотнения вала - </w:t>
            </w:r>
            <w:r>
              <w:rPr>
                <w:sz w:val="22"/>
                <w:szCs w:val="22"/>
                <w:highlight w:val="none"/>
              </w:rPr>
              <w:t xml:space="preserve">торцовое;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232"/>
              <w:ind w:left="0"/>
              <w:jc w:val="left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Материал вращающейся части и неподвижного кольца торцового уплотнения - </w:t>
            </w:r>
            <w:r>
              <w:rPr>
                <w:sz w:val="22"/>
                <w:szCs w:val="22"/>
                <w:highlight w:val="none"/>
              </w:rPr>
              <w:t xml:space="preserve">карбид кремния</w:t>
            </w:r>
            <w:r>
              <w:rPr>
                <w:sz w:val="22"/>
                <w:szCs w:val="22"/>
                <w:highlight w:val="none"/>
              </w:rPr>
              <w:t xml:space="preserve">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232"/>
              <w:ind w:left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Материал рабочего колеса - </w:t>
            </w:r>
            <w:r>
              <w:rPr>
                <w:sz w:val="22"/>
                <w:szCs w:val="22"/>
                <w:highlight w:val="none"/>
              </w:rPr>
              <w:t xml:space="preserve">чугун СЧ20</w:t>
            </w:r>
            <w:r>
              <w:rPr>
                <w:sz w:val="22"/>
                <w:szCs w:val="22"/>
                <w:highlight w:val="none"/>
              </w:rPr>
              <w:t xml:space="preserve">; </w:t>
            </w:r>
            <w:r>
              <w:rPr>
                <w:sz w:val="22"/>
                <w:szCs w:val="22"/>
                <w:highlight w:val="none"/>
              </w:rPr>
              <w:t xml:space="preserve">Материал корпуса спирального</w:t>
            </w:r>
            <w:r>
              <w:rPr>
                <w:sz w:val="22"/>
                <w:szCs w:val="22"/>
                <w:highlight w:val="none"/>
              </w:rPr>
              <w:t xml:space="preserve"> - </w:t>
            </w:r>
            <w:r>
              <w:rPr>
                <w:sz w:val="22"/>
                <w:szCs w:val="22"/>
                <w:highlight w:val="none"/>
              </w:rPr>
              <w:t xml:space="preserve">чугун СЧ20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1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Указание характеристик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1.1.7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textDirection w:val="lrTb"/>
            <w:noWrap w:val="false"/>
          </w:tcPr>
          <w:p>
            <w:pPr>
              <w:pStyle w:val="1232"/>
              <w:ind w:left="0"/>
              <w:jc w:val="center"/>
              <w:spacing w:line="240" w:lineRule="auto"/>
              <w:rPr>
                <w:b/>
                <w:sz w:val="18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Параметры электродвигателя</w: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</w:r>
          </w:p>
        </w:tc>
        <w:tc>
          <w:tcPr>
            <w:tcW w:w="339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Номинальная мощность -75кВт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Напряжение, 380В;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Частота тока, 50Гц;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Номинальный ток, 142А;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Число полюсов - 4;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Частота вращения, 1485 об/мин;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Сos φ - 0,85;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КПД эл. двигателя - 94,3;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Соединение обмоток по схеме – D;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Класс нагревостойкости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F;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Способ охлаждения электродвигателя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погружной электродвигатель без принудительного охлаждения;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Способ защиты электродвигателя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влаго-термозащита;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Степень защиты электродвигателя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IP 68;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Длина встроенного электрического кабеля, 10м;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Количество жил кабеля,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3+1+3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шт.;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Сечение жил,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25+10+2,5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мм2;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Изоляция кабеля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маслостойкая;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Исполнение шкафа защиты, поставляемого в комплекте с насосом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без шкафа защиты и 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51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Указание характеристик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1.1.8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Ресурсы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</w:tc>
        <w:tc>
          <w:tcPr>
            <w:tcW w:w="339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Средняя наработка на отказ, часов, не менее 7000;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Средний ресурс до главного техобслуживания, часов, не менее 20000;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Масса насосного агрегата без шкафа управления, кг. 1250;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51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Указание характеристик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1.1.9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4"/>
            <w:tcW w:w="3401" w:type="dxa"/>
            <w:vAlign w:val="center"/>
            <w:textDirection w:val="lrTb"/>
            <w:noWrap w:val="false"/>
          </w:tcPr>
          <w:p>
            <w:pPr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Перечень защит при эксплуатации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электронасосов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</w:tc>
        <w:tc>
          <w:tcPr>
            <w:tcW w:w="3393" w:type="dxa"/>
            <w:vAlign w:val="center"/>
            <w:textDirection w:val="lrTb"/>
            <w:noWrap w:val="false"/>
          </w:tcPr>
          <w:p>
            <w:pPr>
              <w:rPr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Защита по встроенным датчикам в насосе;</w:t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</w:r>
          </w:p>
          <w:p>
            <w:pPr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Наличие в шкафу управления автоматического выключателя защиты электродвигателя, подобранного в соответствии с номинальным током двигателя;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Тепловая защита двигателя;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Контроль порядка чередования фаз;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Контроль повышенного или пониженного напряжения на каждой фазе;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Контроль перегрузки по току;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Контроль перекоса тока по фазам;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Контроль отсутствия одной или более фаз питания;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rPr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Контроль сопротивления изоляции обмоток статора относительно корпуса насоса;</w:t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защита от «сухого» хода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none"/>
              </w:rPr>
            </w:r>
          </w:p>
        </w:tc>
        <w:tc>
          <w:tcPr>
            <w:tcW w:w="251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экономическим параметрам: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службы, не менее, лет </w:t>
            </w:r>
            <w:r>
              <w:rPr>
                <w:sz w:val="24"/>
                <w:szCs w:val="24"/>
              </w:rPr>
              <w:t xml:space="preserve">                                    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 w:val="0"/>
                <w:bCs w:val="0"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bCs/>
                <w:i/>
                <w:sz w:val="24"/>
                <w:szCs w:val="24"/>
                <w:highlight w:val="none"/>
              </w:rPr>
            </w:pPr>
            <w:r>
              <w:rPr>
                <w:i/>
                <w:iCs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bCs/>
                <w:i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  <w:t xml:space="preserve">10</w:t>
            </w:r>
            <w:r>
              <w:rPr>
                <w:bCs/>
                <w:i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  <w:highlight w:val="none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службы до среднего (капитального) ремонта, лет, не менее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5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обязательствам Поставщика, влияющим на исполнение договора: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представителя завода изготовителя (поставщика) в проверке качества и комплектности </w:t>
            </w:r>
            <w:r>
              <w:rPr>
                <w:sz w:val="22"/>
                <w:szCs w:val="22"/>
              </w:rPr>
              <w:t xml:space="preserve">поставляемого оборудования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Требование к 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безопасности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п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е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р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с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о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н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а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л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а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и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н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а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с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е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л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е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н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и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я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о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т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в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о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з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д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е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й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с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т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в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и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я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п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р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о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д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у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к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ц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и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tabs>
                <w:tab w:val="left" w:pos="567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В соответствии с Федеральным Законом от 27.12.2002 г. № 184-ФЗ «О техническом регулировании», Постановлением Правительства РФ от 23.12.2021 N 2425 "Об утверждении единого перечня продукции, подлежащей обязательной сертиф</w:t>
            </w:r>
            <w:r>
              <w:rPr>
                <w:sz w:val="22"/>
                <w:szCs w:val="22"/>
                <w:lang w:eastAsia="en-US"/>
              </w:rPr>
              <w:t xml:space="preserve">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ind w:left="65" w:firstLine="0"/>
              <w:jc w:val="both"/>
              <w:spacing w:after="60"/>
              <w:widowControl w:val="off"/>
              <w:rPr>
                <w:b/>
                <w:bCs/>
                <w:i/>
                <w:sz w:val="24"/>
                <w:szCs w:val="24"/>
              </w:rPr>
            </w:pPr>
            <w:r>
              <w:rPr>
                <w:i w:val="0"/>
                <w:iCs w:val="0"/>
                <w:sz w:val="22"/>
                <w:szCs w:val="22"/>
              </w:rPr>
            </w:r>
            <w:r>
              <w:rPr>
                <w:b/>
                <w:bCs/>
                <w:i w:val="0"/>
                <w:iCs w:val="0"/>
                <w:sz w:val="22"/>
                <w:szCs w:val="22"/>
              </w:rPr>
              <w:t xml:space="preserve">Насос погружной фекальный: </w:t>
            </w:r>
            <w:r>
              <w:rPr>
                <w:b/>
                <w:bCs/>
                <w:i/>
                <w:sz w:val="24"/>
                <w:szCs w:val="24"/>
              </w:rPr>
            </w:r>
            <w:r>
              <w:rPr>
                <w:b/>
                <w:bCs/>
                <w:i/>
                <w:sz w:val="24"/>
                <w:szCs w:val="24"/>
              </w:rPr>
            </w:r>
          </w:p>
          <w:p>
            <w:pPr>
              <w:pStyle w:val="1190"/>
              <w:numPr>
                <w:ilvl w:val="0"/>
                <w:numId w:val="50"/>
              </w:numPr>
              <w:ind w:left="65" w:firstLine="0"/>
              <w:jc w:val="both"/>
              <w:spacing w:after="60"/>
              <w:widowControl w:val="off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Сертификат или декларацию о соответствии   требованиям   ТР ТС 010/2011 "О безопасности машин и оборудования"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9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Сертификат или декларация о соответствии должна иметь статус действующего документа и удовлетворять требованиям ГОСТ Р 56532-2015; должен иметь электронную регистрацию в едином реестре сертификатов соответствия и деклараций о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соответствии  на сайте </w:t>
            </w:r>
            <w:hyperlink r:id="rId21" w:tooltip="https://fsa.gov.ru/" w:history="1">
              <w:r>
                <w:rPr>
                  <w:rStyle w:val="1100"/>
                  <w:sz w:val="22"/>
                  <w:szCs w:val="22"/>
                </w:rPr>
                <w:t xml:space="preserve">https://fsa.gov.ru/</w:t>
              </w:r>
            </w:hyperlink>
            <w:r>
              <w:rPr>
                <w:sz w:val="22"/>
                <w:szCs w:val="22"/>
              </w:rPr>
              <w:t xml:space="preserve"> (требование п.6 ст.24 ФЗ-184)).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sz w:val="22"/>
                <w:szCs w:val="22"/>
                <w:highlight w:val="white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Участник закупки, признанный победителем</w:t>
            </w:r>
            <w:r>
              <w:rPr>
                <w:sz w:val="22"/>
                <w:szCs w:val="22"/>
                <w:highlight w:val="white"/>
              </w:rPr>
              <w:t xml:space="preserve">должен предоставить в течение 7 (семи) календарных дней после официальной публикации протокола по выбору победителя с учетом результатов преддоговорных переговоров (в случае таковых) в ЕИСпо электронной почте </w:t>
            </w:r>
            <w:r>
              <w:rPr>
                <w:sz w:val="22"/>
                <w:szCs w:val="22"/>
                <w:highlight w:val="white"/>
              </w:rPr>
              <w:t xml:space="preserve">starodubtseva-nv@dgk.ru</w:t>
            </w:r>
            <w:r>
              <w:rPr>
                <w:sz w:val="22"/>
                <w:szCs w:val="22"/>
                <w:highlight w:val="white"/>
              </w:rPr>
              <w:t xml:space="preserve">: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0"/>
              <w:numPr>
                <w:ilvl w:val="0"/>
                <w:numId w:val="51"/>
              </w:numPr>
              <w:ind w:left="0" w:firstLine="0"/>
              <w:jc w:val="both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Регистрационные номера сертификата или декларации о соответствии или копию сертификата или декларации о соответствии на предлагаемую продукцию;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0"/>
              <w:numPr>
                <w:ilvl w:val="0"/>
                <w:numId w:val="59"/>
              </w:numPr>
              <w:ind w:left="65" w:firstLine="0"/>
              <w:jc w:val="both"/>
              <w:spacing w:after="60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i/>
                <w:iCs/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Сертификат или декларацию о соответствии   требованиям   ТР ТС 010/2011 "О безопасности машин и оборудования" 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0"/>
              <w:ind w:left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Сертификат или декларация о соответствии должна иметь статус действующего документа и удовлетворять требованиям ГОСТ Р 56532-2015; должен иметь электронную регистрацию в едином реестре сертификатов соответствия и деклараций о</w:t>
            </w:r>
            <w:r>
              <w:rPr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соответствии  на сайте </w:t>
            </w:r>
            <w:hyperlink r:id="rId22" w:tooltip="https://fsa.gov.ru/" w:history="1">
              <w:r>
                <w:rPr>
                  <w:rStyle w:val="1100"/>
                  <w:sz w:val="22"/>
                  <w:szCs w:val="22"/>
                  <w:highlight w:val="white"/>
                </w:rPr>
                <w:t xml:space="preserve">https://fsa.gov.ru/</w:t>
              </w:r>
            </w:hyperlink>
            <w:r>
              <w:rPr>
                <w:sz w:val="22"/>
                <w:szCs w:val="22"/>
                <w:highlight w:val="white"/>
              </w:rPr>
              <w:t xml:space="preserve"> (требование п.6 ст.24 ФЗ-184)).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1.5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5"/>
            <w:tcW w:w="679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доставке, маркировке, упаковке, транспортировке, перемещению, условиям хранения, приемке и испытаниям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2"/>
            <w:tcW w:w="3372" w:type="dxa"/>
            <w:vAlign w:val="center"/>
            <w:vMerge w:val="restart"/>
            <w:textDirection w:val="lrTb"/>
            <w:noWrap w:val="false"/>
          </w:tcPr>
          <w:p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поставки, отгрузочные реквизиты 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342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оставка товара осуществляется </w:t>
            </w:r>
            <w:r>
              <w:rPr>
                <w:sz w:val="22"/>
                <w:szCs w:val="22"/>
                <w:highlight w:val="white"/>
              </w:rPr>
              <w:t xml:space="preserve">по заявкам Покупателя по адресу грузополучателя: СП «Хабаровская ТЭЦ-1», </w:t>
            </w:r>
            <w:r>
              <w:rPr>
                <w:sz w:val="22"/>
                <w:szCs w:val="22"/>
                <w:highlight w:val="white"/>
              </w:rPr>
              <w:t xml:space="preserve">680015</w:t>
            </w:r>
            <w:r>
              <w:rPr>
                <w:sz w:val="22"/>
                <w:szCs w:val="22"/>
                <w:highlight w:val="white"/>
              </w:rPr>
              <w:t xml:space="preserve">, </w:t>
            </w:r>
            <w:r>
              <w:rPr>
                <w:sz w:val="22"/>
                <w:szCs w:val="22"/>
                <w:highlight w:val="white"/>
              </w:rPr>
              <w:t xml:space="preserve">г. Хабаров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</w:rPr>
              <w:t xml:space="preserve">к, </w:t>
            </w:r>
            <w:r>
              <w:rPr>
                <w:sz w:val="22"/>
                <w:szCs w:val="22"/>
                <w:highlight w:val="white"/>
              </w:rPr>
              <w:t xml:space="preserve">ул. Узловая 15а.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Транспорт Поставщика должен прибыть под разгрузку в адрес грузополучателя с 10 час. 00 мин. до 15 час. 00 мин. (время местное) в рабочие дни. </w:t>
            </w:r>
            <w:r>
              <w:rPr>
                <w:sz w:val="22"/>
                <w:szCs w:val="22"/>
                <w:highlight w:val="white"/>
              </w:rPr>
              <w:t xml:space="preserve">В случае нарушения указанных условий, товар не будет приниматься, а вс</w:t>
            </w:r>
            <w:r>
              <w:rPr>
                <w:sz w:val="22"/>
                <w:szCs w:val="22"/>
                <w:highlight w:val="white"/>
              </w:rPr>
              <w:t xml:space="preserve">е расходы, связанные с задержкой, берет на себя Поставщик.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Правила приемки, </w:t>
            </w:r>
            <w:r>
              <w:rPr>
                <w:sz w:val="22"/>
                <w:szCs w:val="22"/>
                <w:highlight w:val="white"/>
              </w:rPr>
              <w:t xml:space="preserve">вс</w:t>
            </w:r>
            <w:r>
              <w:rPr>
                <w:sz w:val="22"/>
                <w:szCs w:val="22"/>
                <w:highlight w:val="none"/>
              </w:rPr>
              <w:t xml:space="preserve">ех видов испытаний, маркировки, транспортирования и хранения должны соответствовать техническим условиям заводов-изготовителей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2"/>
            <w:tcW w:w="337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Условие доставки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3422" w:type="dxa"/>
            <w:vAlign w:val="center"/>
            <w:vMerge w:val="restart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Продукция доставляется Заказчику специализированным транспортом Поставщика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1.6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5"/>
            <w:tcW w:w="6794" w:type="dxa"/>
            <w:vAlign w:val="center"/>
            <w:vMerge w:val="restart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гарантиям, гарантийному и послегарантийному обс</w:t>
            </w:r>
            <w:r>
              <w:rPr>
                <w:b/>
                <w:sz w:val="22"/>
                <w:szCs w:val="22"/>
                <w:highlight w:val="white"/>
              </w:rPr>
              <w:t xml:space="preserve">луживанию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5"/>
            <w:tcW w:w="6794" w:type="dxa"/>
            <w:vAlign w:val="center"/>
            <w:vMerge w:val="restart"/>
            <w:textDirection w:val="lrTb"/>
            <w:noWrap w:val="false"/>
          </w:tcPr>
          <w:p>
            <w:pPr>
              <w:rPr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арантийный срок на Товар, поставленный по Договору, должен составлять не менее 60 (шестьдесят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) месяцев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с даты подписания Покупателем (грузополучателем) УПД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. Гарантийный срок может быть продлен в соответствии с условиями Договора.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Установленный в отношении Товара Гарантийный срок распространяется на все составные части и комплектующие Товара.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r>
              <w:rPr>
                <w:sz w:val="22"/>
                <w:szCs w:val="22"/>
              </w:rPr>
              <w:t xml:space="preserve">Согласие с требованием</w:t>
            </w:r>
            <w:r/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Участник, признанный победит</w:t>
            </w:r>
            <w:r>
              <w:rPr>
                <w:sz w:val="22"/>
                <w:szCs w:val="22"/>
                <w:highlight w:val="white"/>
              </w:rPr>
              <w:t xml:space="preserve">елем закупочной процедуры, в течение 7 рабочих дней с даты офиц</w:t>
            </w:r>
            <w:r>
              <w:rPr>
                <w:sz w:val="22"/>
                <w:szCs w:val="22"/>
                <w:highlight w:val="white"/>
              </w:rPr>
              <w:t xml:space="preserve">иа</w:t>
            </w:r>
            <w:r>
              <w:rPr>
                <w:sz w:val="22"/>
                <w:szCs w:val="22"/>
                <w:highlight w:val="white"/>
              </w:rPr>
              <w:t xml:space="preserve">льного размещения Организатором итогового протокола по ре</w:t>
            </w:r>
            <w:r>
              <w:rPr>
                <w:sz w:val="22"/>
                <w:szCs w:val="22"/>
                <w:highlight w:val="white"/>
              </w:rPr>
              <w:t xml:space="preserve">зультатам закупки (до заключения договора) должен предоставить </w:t>
            </w:r>
            <w:r>
              <w:rPr>
                <w:sz w:val="22"/>
                <w:szCs w:val="22"/>
                <w:highlight w:val="white"/>
              </w:rPr>
              <w:t xml:space="preserve">по электронной почте </w:t>
            </w:r>
            <w:hyperlink r:id="rId23" w:tooltip="http://starodubtseva-nv@dgk.ru" w:history="1">
              <w:r>
                <w:rPr>
                  <w:rStyle w:val="1100"/>
                  <w:sz w:val="22"/>
                  <w:szCs w:val="22"/>
                  <w:highlight w:val="white"/>
                </w:rPr>
                <w:t xml:space="preserve">starodubtseva-nv@dgk.ru</w:t>
              </w:r>
            </w:hyperlink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Письмо – подтверждение завода-изготовителя о согласии на изготовление предлагаемой продукции с указанием конкретных сроков изготовления и предлагаемых гара</w:t>
            </w:r>
            <w:r>
              <w:rPr>
                <w:sz w:val="22"/>
                <w:szCs w:val="22"/>
                <w:highlight w:val="white"/>
              </w:rPr>
              <w:t xml:space="preserve">нтийных сроков (в произвольной форме).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</w:p>
          <w:p>
            <w:r/>
            <w:r/>
          </w:p>
          <w:p>
            <w:pPr>
              <w:jc w:val="center"/>
              <w:spacing w:before="40"/>
              <w:widowControl w:val="off"/>
              <w:tabs>
                <w:tab w:val="left" w:pos="426" w:leader="none"/>
              </w:tabs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r/>
            <w:r/>
          </w:p>
          <w:p>
            <w:pPr>
              <w:jc w:val="center"/>
              <w:spacing w:before="40"/>
              <w:widowControl w:val="off"/>
              <w:tabs>
                <w:tab w:val="left" w:pos="426" w:leader="none"/>
              </w:tabs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jc w:val="center"/>
              <w:spacing w:before="40"/>
              <w:widowControl w:val="off"/>
              <w:tabs>
                <w:tab w:val="left" w:pos="426" w:leader="none"/>
              </w:tabs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-//-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5"/>
            <w:tcW w:w="6794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Поставщик гарантирует, что качество материалов, применяемых для изготовления оборудования, соответствует требованиям стандартов, техническим требованиям и технической документации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jc w:val="center"/>
              <w:spacing w:before="40"/>
              <w:widowControl w:val="off"/>
              <w:tabs>
                <w:tab w:val="left" w:pos="426" w:leader="none"/>
              </w:tabs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-//-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5"/>
            <w:tcW w:w="6794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Поставщик несет ответственность за примененные им технические и технологические решения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jc w:val="center"/>
              <w:spacing w:before="40"/>
              <w:widowControl w:val="off"/>
              <w:tabs>
                <w:tab w:val="left" w:pos="426" w:leader="none"/>
              </w:tabs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-//-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1081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5"/>
            <w:tcW w:w="6794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В случае обнаружения во время гарантийного срока, а также во время монтажа, в процессе пуско-наладочных работ и испытаний дефектов в оборудовании, они устраняются за счет Поставщика. Гарантийный период продлевается на срок устранения дефекта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jc w:val="center"/>
              <w:spacing w:before="40"/>
              <w:widowControl w:val="off"/>
              <w:tabs>
                <w:tab w:val="left" w:pos="426" w:leader="none"/>
              </w:tabs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-//-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jc w:val="center"/>
              <w:spacing w:before="40"/>
              <w:widowControl w:val="off"/>
              <w:tabs>
                <w:tab w:val="left" w:pos="426" w:leader="none"/>
              </w:tabs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1.7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5"/>
            <w:tcW w:w="679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Комплектующие к насосному оборудованию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Оп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ускное устройство (без направляющих) (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150/400-75/4-106) к 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Насосу погружному фекальному Иртыш ПФЗ 150/400.395.Ч-75/4-106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  <w:t xml:space="preserve">(Приложение № 1 к настоящим ТТ)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1.7.1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Количество, шт.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  <w:t xml:space="preserve">                 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  3 (три)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1.7.2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Параметры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Опускного устройства (без направляющих)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       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150/400-75/4-106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Указание характеристик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1.7.3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3"/>
            <w:tcW w:w="3397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Номинальный диаметр напорного патрубка, мм;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339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                   150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1.7.4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3"/>
            <w:tcW w:w="3397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номинальный диаметр рабочего колеса, мм;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339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                   400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1.7.5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3"/>
            <w:tcW w:w="3397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номинальная мощность электродвигателя, кВт;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339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                    75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1.7.6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3"/>
            <w:tcW w:w="3397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число полюсов электродвигателя;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339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                     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1.7.7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3"/>
            <w:tcW w:w="3397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 монтаж на опускном устройстве вертикальный;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339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                     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1.7.8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3"/>
            <w:tcW w:w="3397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без шкафа защиты и управления;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339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                     0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1.7.9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3"/>
            <w:tcW w:w="3397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влаго-термозащита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339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                     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1.7.10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3"/>
            <w:tcW w:w="3397" w:type="dxa"/>
            <w:vAlign w:val="center"/>
            <w:vMerge w:val="restart"/>
            <w:textDirection w:val="lrTb"/>
            <w:noWrap w:val="false"/>
          </w:tcPr>
          <w:p>
            <w:r>
              <w:rPr>
                <w:sz w:val="24"/>
                <w:szCs w:val="24"/>
              </w:rPr>
              <w:t xml:space="preserve">Рабочая высота</w:t>
            </w:r>
            <w:r/>
          </w:p>
        </w:tc>
        <w:tc>
          <w:tcPr>
            <w:gridSpan w:val="2"/>
            <w:tcW w:w="339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                     5м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5"/>
            <w:tcW w:w="6794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Шкаф управления</w:t>
            </w:r>
            <w:r>
              <w:rPr>
                <w:i/>
                <w:iCs/>
                <w:sz w:val="24"/>
                <w:szCs w:val="24"/>
              </w:rPr>
              <w:t xml:space="preserve"> ШУ1-3.75.Ч3.6-31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  <w:t xml:space="preserve">или эквивалент (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Приложение № 3 к настоящим ТТ)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</w:p>
          <w:p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2.1.1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Количество, шт.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                    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 (один)</w:t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2.1.2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Габариты, мм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  <w:t xml:space="preserve">            не менее </w:t>
            </w:r>
            <w:r>
              <w:rPr>
                <w:i/>
                <w:iCs/>
                <w:sz w:val="24"/>
                <w:szCs w:val="24"/>
              </w:rPr>
              <w:t xml:space="preserve">1900*800*400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Указание характеристик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yellow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2.1.3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Технические Характеристики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shd w:val="clear" w:color="auto" w:fill="ffffff"/>
              </w:rPr>
              <w:t xml:space="preserve">шкаф управления канализационной насосной станции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shd w:val="clear" w:color="auto" w:fill="ffffff"/>
              </w:rPr>
              <w:t xml:space="preserve">(регулирование по уровню)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Количество управляемых электродвигателей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                   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3 шт.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Мощность электродвигателя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                   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75кВт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Тип запуска электродвигателя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«Ч» – преобразователь частоты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При использовании устройств плавного пуска или преобразователей частоты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указывается количество 3шт.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Тип защиты электродвигателя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влаго-термозащита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Питающее напряжение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380В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Количество вводов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1 – с АВР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Род тока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переменный, 50Гц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Номинальное рабочее напряжение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380В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Номинальное напряжение изоляции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660В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Номинальное напряжение цепей управления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220В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Допустимое отклонение напряжения питания от номинала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+10%…-15%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Номинальный ток каждой цепи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160А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Номинальная мощность подключаемых электродвигателей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75кВт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Предельный отключаемый ток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80кА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Предельный коэффициент мощности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 (cosφ) 0,9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Тип датчика температуры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сопротивление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Тип датчика влажности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Датчик влажности СС06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Тип датчика уровня бака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поплавковый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выключатель/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аналоговый датчик уровня 4…20 мА;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Окружающая температура при работе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(-5…+40) °С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Окружающая температура при хранении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(-25…+55) °С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Относительная влажность воздуха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80% без конденсата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Степень защиты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IP54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Меры защиты обслуживающего персонала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Защита от прямого</w:t>
            </w:r>
            <w:r/>
          </w:p>
          <w:p>
            <w:pPr>
              <w:ind w:right="-1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прикосновения</w:t>
            </w:r>
            <w:r/>
          </w:p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к токоведущим частям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Вид системы заземления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TN-S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Вид внутреннего разделения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bCs w:val="0"/>
                <w:i w:val="0"/>
                <w:iCs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1</w:t>
            </w:r>
            <w:r>
              <w:rPr>
                <w:bCs w:val="0"/>
                <w:i w:val="0"/>
                <w:iCs/>
                <w:sz w:val="24"/>
                <w:szCs w:val="24"/>
              </w:rPr>
            </w:r>
            <w:r>
              <w:rPr>
                <w:bCs w:val="0"/>
                <w:i w:val="0"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Типы электрических соединений функциональных блоков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FFF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Условия окружающей среды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 В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2404"/>
        </w:trPr>
        <w:tc>
          <w:tcPr>
            <w:tcW w:w="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4"/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Максимальная нагрузочная способность выходных реле (сигнал ТС)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393" w:type="dxa"/>
            <w:vAlign w:val="center"/>
            <w:vMerge w:val="restart"/>
            <w:textDirection w:val="lrTb"/>
            <w:noWrap w:val="false"/>
          </w:tcPr>
          <w:p>
            <w:r>
              <w:rPr>
                <w:i/>
                <w:iCs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shd w:val="clear" w:color="auto" w:fill="ffffff"/>
              </w:rPr>
              <w:t xml:space="preserve">220В, 2А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/>
          </w:p>
        </w:tc>
        <w:tc>
          <w:tcPr>
            <w:tcW w:w="25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Указание характеристик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51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</w:tbl>
    <w:p>
      <w:pPr>
        <w:ind w:left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1230"/>
        <w:tblpPr w:horzAnchor="page" w:tblpX="885" w:vertAnchor="page" w:tblpY="3985" w:leftFromText="180" w:topFromText="0" w:rightFromText="180" w:bottomFromText="0"/>
        <w:tblW w:w="15271" w:type="dxa"/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287"/>
        <w:gridCol w:w="3115"/>
        <w:gridCol w:w="2551"/>
        <w:gridCol w:w="2551"/>
        <w:gridCol w:w="2409"/>
        <w:gridCol w:w="139"/>
      </w:tblGrid>
      <w:tr>
        <w:tblPrEx/>
        <w:trPr>
          <w:trHeight w:val="982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contextualSpacing/>
              <w:ind w:left="0"/>
              <w:jc w:val="both"/>
              <w:spacing w:before="60" w:after="60"/>
              <w:widowControl w:val="off"/>
              <w:rPr>
                <w:rFonts w:eastAsia="Calibri"/>
                <w:b w:val="0"/>
                <w:bCs w:val="0"/>
                <w:sz w:val="24"/>
                <w:szCs w:val="24"/>
              </w:rPr>
            </w:pPr>
            <w:r>
              <w:rPr>
                <w:rFonts w:eastAsia="Calibri"/>
                <w:b w:val="0"/>
                <w:bCs w:val="0"/>
                <w:sz w:val="24"/>
                <w:szCs w:val="24"/>
              </w:rPr>
              <w:t xml:space="preserve">2.2</w:t>
            </w:r>
            <w:r>
              <w:rPr>
                <w:rFonts w:eastAsia="Calibri"/>
                <w:b w:val="0"/>
                <w:bCs w:val="0"/>
                <w:sz w:val="24"/>
                <w:szCs w:val="24"/>
              </w:rPr>
            </w:r>
            <w:r>
              <w:rPr>
                <w:rFonts w:eastAsia="Calibri"/>
                <w:b w:val="0"/>
                <w:bCs w:val="0"/>
                <w:sz w:val="24"/>
                <w:szCs w:val="24"/>
              </w:rPr>
            </w:r>
          </w:p>
        </w:tc>
        <w:tc>
          <w:tcPr>
            <w:gridSpan w:val="3"/>
            <w:tcW w:w="680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экономическим параметрам: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2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982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contextualSpacing/>
              <w:ind w:left="0"/>
              <w:jc w:val="both"/>
              <w:spacing w:before="60" w:after="6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2.2.1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службы, не менее, лет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3402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548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contextualSpacing/>
              <w:ind w:left="0"/>
              <w:spacing w:before="60" w:after="6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2.2.2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службы до среднего (капитального) ремонта, лет, не менее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3402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характеристик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548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5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contextualSpacing/>
              <w:ind w:left="0"/>
              <w:spacing w:before="60" w:after="60"/>
              <w:widowControl w:val="off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6803" w:type="dxa"/>
            <w:vAlign w:val="center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сопутствующим услугам: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2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4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contextualSpacing/>
              <w:ind w:left="0"/>
              <w:jc w:val="both"/>
              <w:spacing w:before="60" w:after="6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3.1.1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gridSpan w:val="3"/>
            <w:tcW w:w="680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Требования к шефмонтажу: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/>
              <w:spacing w:before="60" w:after="60"/>
              <w:widowControl w:val="off"/>
              <w:rPr>
                <w:rFonts w:eastAsia="Calibri"/>
                <w:b w:val="0"/>
                <w:bCs w:val="0"/>
                <w:sz w:val="22"/>
                <w:szCs w:val="22"/>
              </w:rPr>
            </w:pPr>
            <w:r>
              <w:rPr>
                <w:rFonts w:eastAsia="Calibri"/>
                <w:b w:val="0"/>
                <w:bCs w:val="0"/>
                <w:sz w:val="22"/>
                <w:szCs w:val="22"/>
              </w:rPr>
              <w:t xml:space="preserve">3.1.2</w:t>
            </w:r>
            <w:r>
              <w:rPr>
                <w:rFonts w:eastAsia="Calibri"/>
                <w:b w:val="0"/>
                <w:bCs w:val="0"/>
                <w:sz w:val="22"/>
                <w:szCs w:val="22"/>
              </w:rPr>
            </w:r>
            <w:r>
              <w:rPr>
                <w:rFonts w:eastAsia="Calibri"/>
                <w:b w:val="0"/>
                <w:bCs w:val="0"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 w:val="0"/>
                <w:bCs w:val="0"/>
                <w:sz w:val="22"/>
                <w:szCs w:val="22"/>
              </w:rPr>
              <w:t xml:space="preserve">Требование к качеству оказанию услуг по шеф-наладке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i w:val="0"/>
                <w:iCs w:val="0"/>
                <w:sz w:val="22"/>
                <w:szCs w:val="22"/>
              </w:rPr>
              <w:t xml:space="preserve">Оказание услуг по шеф-наладке в соответствии с ГОСТ Р 56203-2014. «Национальный стандарт Российской Федерации. Оборудование энергетическое тепло- и гидромеханическое. Шефмонтаж и шеф-наладка. Общие требования»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2548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ind w:left="0"/>
              <w:spacing w:before="60" w:after="60"/>
              <w:widowControl w:val="off"/>
              <w:rPr>
                <w:rFonts w:eastAsia="Calibri"/>
                <w:b w:val="0"/>
                <w:bCs w:val="0"/>
                <w:sz w:val="22"/>
                <w:szCs w:val="22"/>
              </w:rPr>
            </w:pPr>
            <w:r>
              <w:rPr>
                <w:rFonts w:eastAsia="Calibri"/>
                <w:b w:val="0"/>
                <w:bCs w:val="0"/>
                <w:sz w:val="22"/>
                <w:szCs w:val="22"/>
              </w:rPr>
            </w:r>
            <w:r>
              <w:rPr>
                <w:rFonts w:eastAsia="Calibri"/>
                <w:b w:val="0"/>
                <w:bCs w:val="0"/>
                <w:sz w:val="22"/>
                <w:szCs w:val="22"/>
              </w:rPr>
            </w:r>
            <w:r>
              <w:rPr>
                <w:rFonts w:eastAsia="Calibri"/>
                <w:b w:val="0"/>
                <w:bCs w:val="0"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2548" w:type="dxa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contextualSpacing/>
              <w:ind w:left="0"/>
              <w:spacing w:before="60" w:after="60"/>
              <w:widowControl w:val="off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3.2</w:t>
            </w:r>
            <w:r>
              <w:rPr>
                <w:rFonts w:eastAsia="Calibri"/>
                <w:sz w:val="24"/>
                <w:szCs w:val="24"/>
                <w:lang w:val="en-US"/>
              </w:rPr>
            </w:r>
            <w:r>
              <w:rPr>
                <w:rFonts w:eastAsia="Calibri"/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6803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Требование к 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безопасности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п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е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р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с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о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н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а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л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а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и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н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а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с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е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л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е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н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и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я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о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т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в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о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з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д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е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й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с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т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в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и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я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п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р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о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д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у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к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ц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и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  <w:lang w:val="en-US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548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contextualSpacing/>
              <w:ind w:left="0"/>
              <w:spacing w:before="60" w:after="60"/>
              <w:widowControl w:val="off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3.2.1</w:t>
            </w:r>
            <w:r>
              <w:rPr>
                <w:rFonts w:eastAsia="Calibri"/>
                <w:sz w:val="24"/>
                <w:szCs w:val="24"/>
                <w:lang w:val="en-US"/>
              </w:rPr>
            </w:r>
            <w:r>
              <w:rPr>
                <w:rFonts w:eastAsia="Calibri"/>
                <w:sz w:val="24"/>
                <w:szCs w:val="24"/>
                <w:lang w:val="en-US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widowControl w:val="off"/>
              <w:tabs>
                <w:tab w:val="left" w:pos="567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В соответствии с Федеральным Законом от 27.12.2002 г. № 184-ФЗ «О техническом регулировании», Постановлением Правительства РФ от 23.12.2021 N 2425 "Об утверждении единого перечня продукции, подлежащей обязательной сертиф</w:t>
            </w:r>
            <w:r>
              <w:rPr>
                <w:sz w:val="22"/>
                <w:szCs w:val="22"/>
                <w:lang w:eastAsia="en-US"/>
              </w:rPr>
              <w:t xml:space="preserve">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3402" w:type="dxa"/>
            <w:textDirection w:val="lrTb"/>
            <w:noWrap w:val="false"/>
          </w:tcPr>
          <w:p>
            <w:pPr>
              <w:jc w:val="both"/>
              <w:spacing w:after="60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none"/>
              </w:rPr>
              <w:t xml:space="preserve">Оборудование должно соответствовать требованиям </w:t>
            </w:r>
            <w:r>
              <w:rPr>
                <w:sz w:val="22"/>
                <w:szCs w:val="22"/>
              </w:rPr>
              <w:t xml:space="preserve">ТР ТС 020/2011 «Электромагнитная совмест</w:t>
            </w:r>
            <w:r>
              <w:rPr>
                <w:sz w:val="22"/>
                <w:szCs w:val="22"/>
              </w:rPr>
              <w:t xml:space="preserve">имость технических устройств». Федерального закона от 27.01.2002 № 7-ФЗ «Об охране окружающей среды», Федерального закона от 26.06.2008 №96-ФЗ «Об экологической экспертизе», Федерального закона от 24.06.1998 № 89-ФЗ «Об отходах производства и потребления».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</w:t>
            </w:r>
            <w:r>
              <w:rPr>
                <w:sz w:val="22"/>
                <w:szCs w:val="22"/>
              </w:rPr>
              <w:t xml:space="preserve">ребования охраны окружающей среды должны быть обеспечены подбором материалов, элементов с учетом параметров и условий эксплуатации. Оборудование не должно являться источником вредных выбросов, должно быть герметичным и не оказывать отрицательного воздейств</w:t>
            </w:r>
            <w:r>
              <w:rPr>
                <w:sz w:val="22"/>
                <w:szCs w:val="22"/>
              </w:rPr>
              <w:t xml:space="preserve">ия на окружающую среду.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9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соответствия должна иметь электронную регистрацию в едином реестре деклараций на сайте https://fsa.gov.ru/ (требование п.6 ст.24 ФЗ-184).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9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Декларация о соответствии, должна иметь статус действующего документа и удовлетворять требованиям ГОСТ Р 56532-2015.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65" w:firstLine="0"/>
              <w:jc w:val="both"/>
              <w:spacing w:after="60"/>
              <w:widowControl w:val="off"/>
            </w:pPr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Согласие с требованием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Участник закупки, признанный победителем</w:t>
            </w:r>
            <w:r>
              <w:rPr>
                <w:sz w:val="22"/>
                <w:szCs w:val="22"/>
                <w:highlight w:val="white"/>
              </w:rPr>
              <w:t xml:space="preserve">должен предоставить в течение 7 (семи) календарных дней </w:t>
            </w:r>
            <w:r>
              <w:rPr>
                <w:sz w:val="22"/>
                <w:szCs w:val="22"/>
                <w:highlight w:val="white"/>
              </w:rPr>
              <w:t xml:space="preserve">после официальной публикации протокола по выбору победителя с учетом результатов преддоговорных переговоров (в случае таковых) в ЕИС</w:t>
            </w:r>
            <w:r>
              <w:rPr>
                <w:sz w:val="22"/>
                <w:szCs w:val="22"/>
                <w:highlight w:val="white"/>
              </w:rPr>
              <w:t xml:space="preserve">по электронной почте </w:t>
            </w:r>
            <w:r>
              <w:rPr>
                <w:sz w:val="22"/>
                <w:szCs w:val="22"/>
                <w:highlight w:val="white"/>
              </w:rPr>
              <w:t xml:space="preserve">starodubtseva-nv@dgk.ru</w:t>
            </w:r>
            <w:r>
              <w:rPr>
                <w:sz w:val="22"/>
                <w:szCs w:val="22"/>
                <w:highlight w:val="white"/>
              </w:rPr>
              <w:t xml:space="preserve">: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0"/>
              <w:numPr>
                <w:ilvl w:val="0"/>
                <w:numId w:val="60"/>
              </w:numPr>
              <w:ind w:left="0" w:firstLine="0"/>
              <w:jc w:val="both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Регистрационные номера сертификата или декларации о соответствии или копию сертификата или декларации о соответствии на предлагаемую продукцию;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0"/>
              <w:numPr>
                <w:ilvl w:val="0"/>
                <w:numId w:val="61"/>
              </w:numPr>
              <w:ind w:left="65" w:firstLine="0"/>
              <w:jc w:val="both"/>
              <w:spacing w:after="60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i/>
                <w:iCs/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Сертификат или декларацию о соответствии   требованиям   ТР ТС 010/2011 "О безопасности машин и оборудования" 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90"/>
              <w:ind w:left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Сертификат или декларация о соответствии должна иметь статус действующего документа и удовлетворять требованиям ГОСТ Р 56532-2015; должен иметь электронную регистрацию в едином реестре сертификатов соответствия и деклараций о</w:t>
            </w:r>
            <w:r>
              <w:rPr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соответствии  на сайте </w:t>
            </w:r>
            <w:hyperlink r:id="rId24" w:tooltip="https://fsa.gov.ru/" w:history="1">
              <w:r>
                <w:rPr>
                  <w:rStyle w:val="1100"/>
                  <w:sz w:val="22"/>
                  <w:szCs w:val="22"/>
                  <w:highlight w:val="white"/>
                </w:rPr>
                <w:t xml:space="preserve">https://fsa.gov.ru/</w:t>
              </w:r>
            </w:hyperlink>
            <w:r>
              <w:rPr>
                <w:sz w:val="22"/>
                <w:szCs w:val="22"/>
                <w:highlight w:val="white"/>
              </w:rPr>
              <w:t xml:space="preserve"> (требование п.6 ст.24 ФЗ-184))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2548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90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contextualSpacing/>
              <w:ind w:left="0"/>
              <w:spacing w:before="60" w:after="60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 xml:space="preserve">3.3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gridSpan w:val="3"/>
            <w:tcW w:w="6803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доставке, маркировке, упаковке, транспортировке, перемещению, условиям хранения, приемке и испытаниям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548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contextualSpacing/>
              <w:ind w:left="0"/>
              <w:spacing w:before="60" w:after="60"/>
              <w:widowControl w:val="off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3.3.1</w:t>
            </w:r>
            <w:r>
              <w:rPr>
                <w:rFonts w:eastAsia="Calibri"/>
                <w:sz w:val="24"/>
                <w:szCs w:val="24"/>
                <w:lang w:val="en-US"/>
              </w:rPr>
            </w:r>
            <w:r>
              <w:rPr>
                <w:rFonts w:eastAsia="Calibri"/>
                <w:sz w:val="24"/>
                <w:szCs w:val="24"/>
                <w:lang w:val="en-US"/>
              </w:rPr>
            </w:r>
          </w:p>
        </w:tc>
        <w:tc>
          <w:tcPr>
            <w:gridSpan w:val="2"/>
            <w:tcW w:w="3689" w:type="dxa"/>
            <w:textDirection w:val="lrTb"/>
            <w:noWrap w:val="false"/>
          </w:tcPr>
          <w:p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поставки, отгрузочные реквизиты 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311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  <w:t xml:space="preserve">оставка товара осуществляется по заявкам Покупателя</w:t>
            </w:r>
            <w:r>
              <w:rPr>
                <w:sz w:val="22"/>
                <w:szCs w:val="22"/>
                <w:highlight w:val="white"/>
              </w:rPr>
              <w:t xml:space="preserve"> по адресу грузополучателя: СП «Хабаровская ТЭЦ-1», </w:t>
            </w:r>
            <w:r>
              <w:rPr>
                <w:sz w:val="22"/>
                <w:szCs w:val="22"/>
                <w:highlight w:val="white"/>
              </w:rPr>
              <w:t xml:space="preserve">680015</w:t>
            </w:r>
            <w:r>
              <w:rPr>
                <w:sz w:val="22"/>
                <w:szCs w:val="22"/>
                <w:highlight w:val="white"/>
              </w:rPr>
              <w:t xml:space="preserve">, </w:t>
            </w:r>
            <w:r>
              <w:rPr>
                <w:sz w:val="22"/>
                <w:szCs w:val="22"/>
                <w:highlight w:val="white"/>
              </w:rPr>
              <w:t xml:space="preserve">г. Хабаровск, </w:t>
            </w:r>
            <w:r>
              <w:rPr>
                <w:sz w:val="22"/>
                <w:szCs w:val="22"/>
                <w:highlight w:val="white"/>
              </w:rPr>
              <w:t xml:space="preserve">ул. Узловая 15а</w:t>
            </w:r>
            <w:r>
              <w:rPr>
                <w:sz w:val="22"/>
                <w:szCs w:val="22"/>
                <w:highlight w:val="white"/>
              </w:rPr>
              <w:t xml:space="preserve">. </w:t>
            </w:r>
            <w:r>
              <w:rPr>
                <w:sz w:val="22"/>
                <w:szCs w:val="22"/>
                <w:highlight w:val="white"/>
              </w:rPr>
              <w:t xml:space="preserve">Транспорт Поставщика должен прибыть под разгрузку в адрес грузополучателя с 10 час. 00 мин. до 15 час. 00 мин. (время местное) в рабочие дни. </w:t>
            </w:r>
            <w:r>
              <w:rPr>
                <w:sz w:val="22"/>
                <w:szCs w:val="22"/>
                <w:highlight w:val="white"/>
              </w:rPr>
              <w:t xml:space="preserve">В случае нарушения указанных условий, товар не будет приниматься, а вс</w:t>
            </w:r>
            <w:r>
              <w:rPr>
                <w:sz w:val="22"/>
                <w:szCs w:val="22"/>
                <w:highlight w:val="white"/>
              </w:rPr>
              <w:t xml:space="preserve">е расходы, связанные с задержкой, берет на себя Поставщик.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highlight w:val="whit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Правила приемки, всех видов испытаний, маркировки, транспортирования и хранения должны соответствовать техническим условиям заводов-изготовителей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548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25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contextualSpacing/>
              <w:ind w:left="0"/>
              <w:spacing w:before="60" w:after="60"/>
              <w:widowControl w:val="off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3.3.2</w:t>
            </w:r>
            <w:r>
              <w:rPr>
                <w:rFonts w:eastAsia="Calibri"/>
                <w:sz w:val="24"/>
                <w:szCs w:val="24"/>
                <w:lang w:val="en-US"/>
              </w:rPr>
            </w:r>
            <w:r>
              <w:rPr>
                <w:rFonts w:eastAsia="Calibri"/>
                <w:sz w:val="24"/>
                <w:szCs w:val="24"/>
                <w:lang w:val="en-US"/>
              </w:rPr>
            </w:r>
          </w:p>
        </w:tc>
        <w:tc>
          <w:tcPr>
            <w:gridSpan w:val="2"/>
            <w:tcW w:w="3689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Условие доставки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3114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Продукция доставляется Заказчику специализированным транспортом Поставщика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548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105"/>
        </w:trPr>
        <w:tc>
          <w:tcPr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/>
              <w:spacing w:before="60" w:after="60"/>
              <w:widowControl w:val="off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3.3.3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W w:w="6803" w:type="dxa"/>
            <w:vMerge w:val="restart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Оборудование должно быть новым, изготовленным не ранее 2025 года, не находившимся в эксплуатации. 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2"/>
                <w:szCs w:val="22"/>
              </w:rPr>
              <w:t xml:space="preserve">Поставщик несет ответственность за поставку некачественной продукции в соответствии со ст. 475 ГК РФ.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548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63"/>
        </w:trPr>
        <w:tc>
          <w:tcPr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/>
              <w:spacing w:before="60" w:after="60"/>
              <w:widowControl w:val="off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3.4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W w:w="6803" w:type="dxa"/>
            <w:vMerge w:val="restart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гарантиям, гарантийному и послегарантийному обс</w:t>
            </w:r>
            <w:r>
              <w:rPr>
                <w:b/>
                <w:sz w:val="22"/>
                <w:szCs w:val="22"/>
                <w:highlight w:val="white"/>
              </w:rPr>
              <w:t xml:space="preserve">луживанию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  <w:highlight w:val="white"/>
              </w:rPr>
              <w:t xml:space="preserve">Участник, признанный победит</w:t>
            </w:r>
            <w:r>
              <w:rPr>
                <w:sz w:val="22"/>
                <w:szCs w:val="22"/>
                <w:highlight w:val="white"/>
              </w:rPr>
              <w:t xml:space="preserve">елем закупочной процедуры, в течение 7 (семи) рабочих дней с даты офиц</w:t>
            </w:r>
            <w:r>
              <w:rPr>
                <w:sz w:val="22"/>
                <w:szCs w:val="22"/>
                <w:highlight w:val="white"/>
              </w:rPr>
              <w:t xml:space="preserve">иа</w:t>
            </w:r>
            <w:r>
              <w:rPr>
                <w:sz w:val="22"/>
                <w:szCs w:val="22"/>
                <w:highlight w:val="white"/>
              </w:rPr>
              <w:t xml:space="preserve">льного размещения Организатором итогового протокола по ре</w:t>
            </w:r>
            <w:r>
              <w:rPr>
                <w:sz w:val="22"/>
                <w:szCs w:val="22"/>
                <w:highlight w:val="white"/>
              </w:rPr>
              <w:t xml:space="preserve">зультатам закупки (до заключения договора) должен предоставить </w:t>
            </w:r>
            <w:r>
              <w:rPr>
                <w:sz w:val="22"/>
                <w:szCs w:val="22"/>
                <w:highlight w:val="white"/>
              </w:rPr>
              <w:t xml:space="preserve">по электронной почте </w:t>
            </w:r>
            <w:r>
              <w:rPr>
                <w:sz w:val="22"/>
                <w:szCs w:val="22"/>
                <w:highlight w:val="white"/>
              </w:rPr>
            </w:r>
            <w:hyperlink r:id="rId25" w:tooltip="http://starodubtseva-nv@dgk.ru" w:history="1">
              <w:r>
                <w:rPr>
                  <w:rStyle w:val="1100"/>
                  <w:sz w:val="22"/>
                  <w:szCs w:val="22"/>
                  <w:highlight w:val="white"/>
                </w:rPr>
                <w:t xml:space="preserve">starodubtseva-nv@dgk.ru</w:t>
              </w:r>
              <w:r>
                <w:rPr>
                  <w:rStyle w:val="1100"/>
                  <w:sz w:val="22"/>
                  <w:szCs w:val="22"/>
                  <w:highlight w:val="white"/>
                </w:rPr>
              </w:r>
            </w:hyperlink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Письмо – подтверждение завода-изготовителя о согласии на изготовление предлагаемой продукции с указанием конкретных сроков изготовления и предлагаемых гара</w:t>
            </w:r>
            <w:r>
              <w:rPr>
                <w:sz w:val="22"/>
                <w:szCs w:val="22"/>
                <w:highlight w:val="white"/>
              </w:rPr>
              <w:t xml:space="preserve">нтийных сроков (в произвольной форме).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548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20"/>
        </w:trPr>
        <w:tc>
          <w:tcPr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/>
              <w:spacing w:before="60" w:after="60"/>
              <w:widowControl w:val="off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3.4.1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W w:w="6803" w:type="dxa"/>
            <w:vMerge w:val="restart"/>
            <w:textDirection w:val="lrTb"/>
            <w:noWrap w:val="false"/>
          </w:tcPr>
          <w:p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2"/>
                <w:szCs w:val="22"/>
              </w:rPr>
              <w:t xml:space="preserve">Поставщик гарантирует соответствие продукции техническим требованиям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48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87"/>
        </w:trPr>
        <w:tc>
          <w:tcPr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/>
              <w:spacing w:before="60" w:after="60"/>
              <w:widowControl w:val="off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3.4.2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W w:w="6803" w:type="dxa"/>
            <w:vMerge w:val="restart"/>
            <w:textDirection w:val="lrTb"/>
            <w:noWrap w:val="false"/>
          </w:tcPr>
          <w:p>
            <w:pPr>
              <w:rPr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арантийный срок на Товар, поставленный по Договору, должен составлять не менее 60 (шестьдесят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) месяцев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с даты подписания Покупателем (грузополучателем) УПД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. Гарантийный срок может быть продлен в соответствии с условиями Договора.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Установленный в отношении Товара Гарантийный срок распространяется на все составные части и комплектующие Товара.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48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87"/>
        </w:trPr>
        <w:tc>
          <w:tcPr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/>
              <w:spacing w:before="60" w:after="60"/>
              <w:widowControl w:val="off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3.4.3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W w:w="6803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Поставщик гарантирует, что качество материалов, применяемых для изготовления оборудования, соответствует требованиям стандартов, техническим требованиям и технической документации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48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99"/>
        </w:trPr>
        <w:tc>
          <w:tcPr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/>
              <w:spacing w:before="60" w:after="60"/>
              <w:widowControl w:val="off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3.4.4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W w:w="680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2"/>
                <w:szCs w:val="22"/>
              </w:rPr>
              <w:t xml:space="preserve">Поставщик несет ответственность за примененные им технические и технологические решения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48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105"/>
        </w:trPr>
        <w:tc>
          <w:tcPr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/>
              <w:spacing w:before="60" w:after="60"/>
              <w:widowControl w:val="off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3.4.5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3"/>
            <w:tcW w:w="6803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В случае обнаружения во время гарантийного срока, а также во время монтажа, в процессе пуско-наладочных работ и испытаний дефектов в оборудовании, они устраняются за счет Поставщика. Гарантийный период продлевается на срок устранения дефекта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548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br w:type="page" w:clear="all"/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</w:rPr>
        <w:t xml:space="preserve">2.2.1 </w:t>
      </w:r>
      <w:r>
        <w:rPr>
          <w:sz w:val="24"/>
          <w:szCs w:val="24"/>
        </w:rPr>
      </w:r>
      <w:r>
        <w:rPr>
          <w:b/>
          <w:bCs/>
          <w:color w:val="auto"/>
          <w:sz w:val="23"/>
          <w:szCs w:val="23"/>
        </w:rPr>
        <w:t xml:space="preserve">Прочие (дополнительные) требования к продукции</w:t>
      </w:r>
      <w:r>
        <w:rPr>
          <w:color w:val="auto"/>
          <w:sz w:val="23"/>
          <w:szCs w:val="23"/>
        </w:rPr>
        <w:t xml:space="preserve"> (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3"/>
          <w:szCs w:val="23"/>
          <w:u w:val="none"/>
        </w:rPr>
        <w:t xml:space="preserve">Национальный режим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3"/>
          <w:szCs w:val="23"/>
          <w:u w:val="none"/>
        </w:rPr>
        <w:t xml:space="preserve">(Постановление Правительства от 23.12.2024 № 1875).</w:t>
      </w:r>
      <w:r/>
      <w:r>
        <w:rPr>
          <w:b/>
          <w:bCs/>
          <w:color w:val="000000" w:themeColor="text1"/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tbl>
      <w:tblPr>
        <w:tblStyle w:val="1230"/>
        <w:tblW w:w="1532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3607"/>
        <w:gridCol w:w="4335"/>
        <w:gridCol w:w="1843"/>
        <w:gridCol w:w="2884"/>
        <w:gridCol w:w="1809"/>
      </w:tblGrid>
      <w:tr>
        <w:tblPrEx/>
        <w:trPr/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60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43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gridSpan w:val="2"/>
            <w:tcW w:w="47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607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335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28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1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360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2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433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3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4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28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5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6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1190"/>
              <w:numPr>
                <w:ilvl w:val="0"/>
                <w:numId w:val="57"/>
              </w:num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i w:val="0"/>
                <w:iCs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gridSpan w:val="2"/>
            <w:tcW w:w="7942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Прочие (дополнительные) требования к продукции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2884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</w:tr>
      <w:tr>
        <w:tblPrEx/>
        <w:trPr>
          <w:trHeight w:val="2304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1190"/>
              <w:numPr>
                <w:ilvl w:val="1"/>
                <w:numId w:val="57"/>
              </w:numPr>
              <w:ind w:left="-117" w:firstLine="142"/>
              <w:jc w:val="both"/>
              <w:spacing w:before="60" w:after="6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607" w:type="dxa"/>
            <w:vAlign w:val="center"/>
            <w:textDirection w:val="lrTb"/>
            <w:noWrap w:val="false"/>
          </w:tcPr>
          <w:p>
            <w:pPr>
              <w:pStyle w:val="1233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По позициям №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1-2 ФОРМЫ 3 (Коммерческое предложение и Структура НМЦ)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0"/>
                <w:szCs w:val="20"/>
                <w:highlight w:val="none"/>
                <w:u w:val="single"/>
                <w:lang w:eastAsia="ru-RU"/>
              </w:rPr>
              <w:t xml:space="preserve">установлен режим ограничения закупки иностранной продукции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 (когда национальный режим не предоставляется) по перечню  согласно Приложению №2 ПП РФ от 23.12.2024 № 1875.</w:t>
            </w:r>
            <w:r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233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26" w:tooltip="https://login.consultant.ru/link/?req=doc&amp;base=LAW&amp;n=494318&amp;dst=10000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ограничение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закупок товаров, происходящих из иностранных государств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(по перечню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1875)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233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не допускаются: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233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заявки на участие в закупке, окончательное предложение, признанные по результатам их рассмотрения соответствующими требованиям полож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233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</w:p>
          <w:p>
            <w:pPr>
              <w:pStyle w:val="1233"/>
              <w:ind w:firstLine="0"/>
              <w:spacing w:before="0" w:after="0" w:afterAutospacing="0" w:line="240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, по перечню 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iCs w:val="0"/>
                <w:color w:val="auto"/>
                <w:sz w:val="20"/>
                <w:szCs w:val="20"/>
                <w:highlight w:val="none"/>
                <w:lang w:eastAsia="ru-RU"/>
              </w:rPr>
            </w:r>
            <w:r/>
          </w:p>
        </w:tc>
        <w:tc>
          <w:tcPr>
            <w:tcW w:w="4335" w:type="dxa"/>
            <w:vAlign w:val="center"/>
            <w:vMerge w:val="restart"/>
            <w:textDirection w:val="lrTb"/>
            <w:noWrap w:val="false"/>
          </w:tcPr>
          <w:p>
            <w:pPr>
              <w:pStyle w:val="1216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Поставляемая продукция должна быть  быть включена в реестры, а именно:</w:t>
            </w:r>
            <w:r/>
            <w:r/>
          </w:p>
          <w:p>
            <w:pPr>
              <w:pStyle w:val="1216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1) Реестр российской промышленной продукции, предусмотренный статьей 171 Федерального закона «О промышленной политике в Российской Федерации», содержащий в том числе: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pStyle w:val="1216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bCs/>
                <w:i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–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ПП РФ от 17 июля 2015 г. №719 «О подтверждении производства российской промышленной про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дукции»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ПП РФ от 17 июля 2015 г. №719,</w:t>
            </w:r>
            <w:r>
              <w:rPr>
                <w:rFonts w:hint="default" w:ascii="Times New Roman" w:hAnsi="Times New Roman" w:cs="Times New Roman"/>
                <w:bCs/>
                <w:i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bCs/>
                <w:i/>
                <w:sz w:val="20"/>
                <w:szCs w:val="20"/>
              </w:rPr>
            </w:r>
          </w:p>
          <w:p>
            <w:pPr>
              <w:pStyle w:val="1216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–информацию об уровне радиоэлектронной продукции (для товара, являющегося в соответствии с ПП РФ от 17 июля 2015 г. N 719 радиоэлектронной продукцией первого уровня или радиоэлектронной продукцией второго уровня).</w:t>
            </w:r>
            <w:r/>
            <w:r/>
          </w:p>
          <w:p>
            <w:pPr>
              <w:pStyle w:val="1216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2)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содержащий в том числе:</w:t>
            </w:r>
            <w:r/>
            <w:r/>
          </w:p>
          <w:p>
            <w:pPr>
              <w:ind w:left="0" w:right="0" w:firstLine="0"/>
              <w:jc w:val="both"/>
              <w:spacing w:before="0" w:after="0"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информацию о совокупном количестве баллов за выполнение (освоение) на территории Евразийского экономического союза соответствующих операций (условий) (если в отношении такого товара правом Евразийского экономического союза за выполнение (освоение) на терри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тории Евразийского экономического союза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правом Евразийского экономического союза;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br/>
            </w:r>
            <w:r/>
            <w:r/>
          </w:p>
          <w:p>
            <w:pPr>
              <w:pStyle w:val="1216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– информацию об уровне радиоэлектронной продукции (для товара,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уровня).</w:t>
            </w:r>
            <w:r/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288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highlight w:val="none"/>
                <w:lang w:eastAsia="en-US"/>
              </w:rPr>
              <w:t xml:space="preserve">Для подтверждения происхождения товаров из Российской Федерации (либо подтверждения происхождения товаров из государств - членов Евразийского экономического союза, за исключением РФ) </w:t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</w:p>
          <w:p>
            <w:pPr>
              <w:pStyle w:val="934"/>
              <w:numPr>
                <w:ilvl w:val="0"/>
                <w:numId w:val="0"/>
              </w:numPr>
              <w:ind w:left="0" w:right="0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Участник должен предоставить</w:t>
            </w:r>
            <w:r>
              <w:rPr>
                <w:rFonts w:eastAsia="Calibri" w:cs="Times New Roman" w:eastAsiaTheme="minorHAnsi"/>
                <w:i/>
                <w:i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</w:p>
          <w:p>
            <w:pPr>
              <w:pStyle w:val="934"/>
              <w:numPr>
                <w:ilvl w:val="0"/>
                <w:numId w:val="0"/>
              </w:numPr>
              <w:ind w:left="0" w:right="0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i w:val="0"/>
                <w:iCs w:val="0"/>
                <w:color w:val="000000" w:themeColor="text1"/>
                <w:sz w:val="20"/>
                <w:szCs w:val="20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 w:cs="Times New Roman" w:eastAsiaTheme="minorHAnsi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yellow"/>
                <w:u w:val="single"/>
                <w:lang w:eastAsia="en-US"/>
              </w:rPr>
              <w:t xml:space="preserve">в составе ценового предложения</w:t>
            </w:r>
            <w:r>
              <w:rPr>
                <w:rFonts w:eastAsia="Calibri" w:cs="Times New Roman" w:eastAsiaTheme="minorHAnsi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white"/>
                <w:u w:val="none"/>
                <w:lang w:eastAsia="en-US"/>
              </w:rPr>
              <w:t xml:space="preserve">  </w:t>
            </w:r>
            <w:r>
              <w:rPr>
                <w:rFonts w:eastAsia="Calibri" w:cs="Times New Roman" w:eastAsiaTheme="minorHAnsi"/>
                <w:b w:val="0"/>
                <w:bCs w:val="0"/>
                <w:i w:val="0"/>
                <w:iCs w:val="0"/>
                <w:color w:val="000000" w:themeColor="text1"/>
                <w:sz w:val="22"/>
                <w:szCs w:val="22"/>
                <w:u w:val="none"/>
                <w:lang w:eastAsia="en-US"/>
              </w:rPr>
              <w:t xml:space="preserve">Коммерческое предложение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по форме, установленной Документацией о закупке, с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указанием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в отношении поставляемой продукции информации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val="ru-RU" w:eastAsia="en-US"/>
              </w:rPr>
              <w:t xml:space="preserve">:</w:t>
            </w:r>
            <w:r>
              <w:rPr>
                <w:rFonts w:ascii="Times New Roman" w:hAnsi="Times New Roman" w:eastAsia="Calibri" w:cs="Times New Roman" w:eastAsiaTheme="minorHAnsi"/>
                <w:i w:val="0"/>
                <w:iCs w:val="0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i w:val="0"/>
                <w:iCs w:val="0"/>
                <w:color w:val="000000" w:themeColor="text1"/>
                <w:sz w:val="20"/>
                <w:szCs w:val="20"/>
              </w:rPr>
            </w:r>
          </w:p>
          <w:p>
            <w:pPr>
              <w:pStyle w:val="1190"/>
              <w:numPr>
                <w:ilvl w:val="0"/>
                <w:numId w:val="64"/>
              </w:numPr>
              <w:contextualSpacing/>
              <w:ind w:left="396" w:right="0" w:hanging="28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val="ru-RU" w:eastAsia="en-US"/>
              </w:rPr>
              <w:t xml:space="preserve">наименование реестра,</w:t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</w:p>
          <w:p>
            <w:pPr>
              <w:pStyle w:val="1190"/>
              <w:numPr>
                <w:ilvl w:val="0"/>
                <w:numId w:val="64"/>
              </w:numPr>
              <w:contextualSpacing/>
              <w:ind w:left="396" w:right="57" w:hanging="28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номер реестровой записи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соответствующего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реестра.</w:t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pStyle w:val="934"/>
              <w:ind w:left="113" w:right="113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ascii="Times New Roman" w:hAnsi="Times New Roman" w:cs="Times New Roman" w:eastAsiaTheme="minorHAnsi"/>
                <w:b w:val="0"/>
                <w:bCs w:val="0"/>
                <w:i w:val="0"/>
                <w:iCs w:val="0"/>
                <w:color w:val="auto" w:themeColor="text1"/>
                <w:sz w:val="20"/>
                <w:szCs w:val="20"/>
                <w:highlight w:val="none"/>
                <w14:ligatures w14:val="none"/>
              </w:rPr>
            </w:pP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В случае отсутствия треб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уемой выше информации, заявка Участника приравнивается к заявке, в которой содержится предложение о поставке товаров, происходящих из иностранного государства (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  <w:highlight w:val="white"/>
              </w:rPr>
              <w:t xml:space="preserve">ПП РФ №1875 от 23.12.2024).</w:t>
            </w:r>
            <w:r>
              <w:rPr>
                <w:rFonts w:hint="default" w:ascii="Times New Roman" w:hAnsi="Times New Roman" w:cs="Times New Roman" w:eastAsiaTheme="minorHAnsi"/>
                <w:b w:val="0"/>
                <w:bCs w:val="0"/>
                <w:i w:val="0"/>
                <w:iCs w:val="0"/>
                <w:color w:val="auto" w:themeColor="text1"/>
                <w:sz w:val="20"/>
                <w:szCs w:val="20"/>
                <w:highlight w:val="none"/>
                <w14:ligatures w14:val="none"/>
              </w:rPr>
            </w:r>
            <w:r>
              <w:rPr>
                <w:rFonts w:hint="default" w:ascii="Times New Roman" w:hAnsi="Times New Roman" w:cs="Times New Roman" w:eastAsiaTheme="minorHAnsi"/>
                <w:b w:val="0"/>
                <w:bCs w:val="0"/>
                <w:i w:val="0"/>
                <w:iCs w:val="0"/>
                <w:color w:val="auto" w:themeColor="text1"/>
                <w:sz w:val="20"/>
                <w:szCs w:val="20"/>
                <w:highlight w:val="none"/>
                <w14:ligatures w14:val="none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lang w:val="ru-RU" w:eastAsia="en-US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</w:tbl>
    <w:p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  <w:r/>
    </w:p>
    <w:p>
      <w:pPr>
        <w:jc w:val="both"/>
        <w:rPr>
          <w:rFonts w:eastAsia="Calibri"/>
          <w:bCs/>
          <w:color w:val="000000" w:themeColor="text1"/>
          <w:sz w:val="24"/>
          <w:szCs w:val="24"/>
        </w:rPr>
      </w:pPr>
      <w:r>
        <w:rPr>
          <w:color w:val="000000" w:themeColor="text1"/>
        </w:rPr>
        <w:t xml:space="preserve">1) </w:t>
      </w:r>
      <w:r>
        <w:rPr>
          <w:rFonts w:eastAsia="Calibri"/>
          <w:bCs/>
          <w:color w:val="000000" w:themeColor="text1"/>
          <w:sz w:val="24"/>
          <w:szCs w:val="24"/>
        </w:rPr>
        <w:t xml:space="preserve">В случае если какой-либо из указа</w:t>
      </w:r>
      <w:r>
        <w:rPr>
          <w:rFonts w:eastAsia="Calibri"/>
          <w:bCs/>
          <w:color w:val="000000" w:themeColor="text1"/>
          <w:sz w:val="24"/>
          <w:szCs w:val="24"/>
        </w:rPr>
        <w:t xml:space="preserve">нных в настоящих Технических требованиях ГОСТ или нормативный документ был заменен/отменен в процессе проведения закупки в связи с выпуском новой редакции стандарта, то Участнику необходимо применять ГОСТ или нормативный документ, приня</w:t>
      </w:r>
      <w:r>
        <w:rPr>
          <w:rFonts w:eastAsia="Calibri"/>
          <w:bCs/>
          <w:color w:val="000000" w:themeColor="text1"/>
          <w:sz w:val="24"/>
          <w:szCs w:val="24"/>
        </w:rPr>
        <w:t xml:space="preserve">тый в его развитие. </w:t>
      </w:r>
      <w:r>
        <w:rPr>
          <w:rFonts w:eastAsia="Calibri"/>
          <w:bCs/>
          <w:color w:val="000000" w:themeColor="text1"/>
          <w:sz w:val="24"/>
          <w:szCs w:val="24"/>
        </w:rPr>
      </w:r>
      <w:r>
        <w:rPr>
          <w:rFonts w:eastAsia="Calibri"/>
          <w:bCs/>
          <w:color w:val="000000" w:themeColor="text1"/>
          <w:sz w:val="24"/>
          <w:szCs w:val="24"/>
        </w:rPr>
      </w:r>
    </w:p>
    <w:p>
      <w:pPr>
        <w:jc w:val="both"/>
        <w:rPr>
          <w:color w:val="000000" w:themeColor="text1"/>
        </w:rPr>
      </w:pPr>
      <w:r>
        <w:rPr>
          <w:rFonts w:eastAsia="Calibri"/>
          <w:bCs/>
          <w:color w:val="000000" w:themeColor="text1"/>
          <w:sz w:val="24"/>
          <w:szCs w:val="24"/>
        </w:rPr>
        <w:t xml:space="preserve">2) </w:t>
      </w:r>
      <w:r>
        <w:rPr>
          <w:i w:val="0"/>
          <w:iCs w:val="0"/>
          <w:sz w:val="24"/>
          <w:szCs w:val="24"/>
        </w:rPr>
        <w:t xml:space="preserve">Указанные в настоящем ТТ ссылки на ТУ, марку (тип) продукции носят описательный, а не обязательный характер</w:t>
      </w:r>
      <w:r>
        <w:rPr>
          <w:rFonts w:eastAsia="Calibri"/>
          <w:bCs/>
          <w:color w:val="000000" w:themeColor="text1"/>
          <w:sz w:val="24"/>
          <w:szCs w:val="24"/>
        </w:rPr>
        <w:t xml:space="preserve">. Если Участником предлагается эквивалентная продукция тр</w:t>
      </w:r>
      <w:r>
        <w:rPr>
          <w:rFonts w:eastAsia="Calibri"/>
          <w:bCs/>
          <w:color w:val="000000" w:themeColor="text1"/>
          <w:sz w:val="24"/>
          <w:szCs w:val="24"/>
        </w:rPr>
        <w:t xml:space="preserve">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эквивалента, в объеме не менее установленных в настоящем ТТ требований.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38"/>
        <w:ind w:left="0" w:firstLine="0"/>
        <w:jc w:val="both"/>
        <w:tabs>
          <w:tab w:val="left" w:pos="284" w:leader="none"/>
        </w:tabs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  <w:r>
        <w:rPr>
          <w:b w:val="0"/>
          <w:color w:val="000000" w:themeColor="text1"/>
        </w:rPr>
      </w:r>
      <w:r>
        <w:rPr>
          <w:b w:val="0"/>
          <w:color w:val="000000" w:themeColor="text1"/>
        </w:rPr>
      </w:r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 w:clear="all"/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rPr>
          <w:b/>
          <w:bCs/>
          <w:i/>
          <w:sz w:val="24"/>
          <w:szCs w:val="24"/>
        </w:rPr>
        <w:sectPr>
          <w:headerReference w:type="default" r:id="rId12"/>
          <w:headerReference w:type="first" r:id="rId13"/>
          <w:footnotePr>
            <w:numRestart w:val="eachPage"/>
          </w:footnotePr>
          <w:endnotePr/>
          <w:type w:val="nextPage"/>
          <w:pgSz w:w="16838" w:h="11906" w:orient="landscape"/>
          <w:pgMar w:top="851" w:right="567" w:bottom="851" w:left="992" w:header="680" w:footer="0" w:gutter="0"/>
          <w:cols w:num="1" w:sep="0" w:space="1701" w:equalWidth="1"/>
          <w:docGrid w:linePitch="360"/>
          <w:titlePg/>
        </w:sectPr>
      </w:pPr>
      <w:r>
        <w:rPr>
          <w:b/>
          <w:bCs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  <w:r>
        <w:rPr>
          <w:b/>
          <w:bCs/>
          <w:i/>
          <w:sz w:val="24"/>
          <w:szCs w:val="24"/>
        </w:rPr>
      </w:r>
    </w:p>
    <w:p>
      <w:pPr>
        <w:pStyle w:val="935"/>
        <w:ind w:left="357" w:hanging="357"/>
        <w:jc w:val="center"/>
        <w:keepLines/>
      </w:pPr>
      <w:r/>
      <w:bookmarkStart w:id="266" w:name="_Toc53393312"/>
      <w:r/>
      <w:bookmarkStart w:id="267" w:name="_Toc75446583"/>
      <w:r>
        <w:t xml:space="preserve">Требования к документации по ценообразованию</w:t>
      </w:r>
      <w:bookmarkEnd w:id="266"/>
      <w:r>
        <w:t xml:space="preserve"> на этапе закупки</w:t>
      </w:r>
      <w:bookmarkEnd w:id="267"/>
      <w:r/>
      <w:r/>
    </w:p>
    <w:p>
      <w:pPr>
        <w:jc w:val="both"/>
      </w:pPr>
      <w:r/>
      <w:r/>
    </w:p>
    <w:p>
      <w:pPr>
        <w:pStyle w:val="1190"/>
        <w:numPr>
          <w:ilvl w:val="0"/>
          <w:numId w:val="17"/>
        </w:num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 обоснование стоимости своей заявки Участник п</w:t>
      </w:r>
      <w:r>
        <w:rPr>
          <w:sz w:val="28"/>
          <w:szCs w:val="28"/>
        </w:rPr>
        <w:t xml:space="preserve">редоставляет Комм</w:t>
      </w:r>
      <w:r>
        <w:rPr>
          <w:sz w:val="28"/>
          <w:szCs w:val="28"/>
        </w:rPr>
        <w:t xml:space="preserve">ерческое предложение по форме (с учетом прилагаемой к ней инструкции по заполнению), приведенной в Документации о закупке</w:t>
      </w:r>
      <w:r>
        <w:rPr>
          <w:color w:val="auto"/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1190"/>
        <w:numPr>
          <w:ilvl w:val="0"/>
          <w:numId w:val="17"/>
        </w:numPr>
        <w:jc w:val="both"/>
        <w:rPr>
          <w:sz w:val="32"/>
          <w:szCs w:val="32"/>
        </w:rPr>
      </w:pPr>
      <w:r>
        <w:rPr>
          <w:sz w:val="28"/>
          <w:szCs w:val="28"/>
        </w:rPr>
        <w:t xml:space="preserve">Вместе с Коммерческим предложением Участник должен предоставить в составе заявки спецификацию поставляемого оборудования по форме, </w:t>
      </w:r>
      <w:r>
        <w:rPr>
          <w:color w:val="000000" w:themeColor="text1"/>
          <w:sz w:val="28"/>
          <w:szCs w:val="28"/>
        </w:rPr>
        <w:t xml:space="preserve">приведенной </w:t>
      </w:r>
      <w:r>
        <w:rPr>
          <w:color w:val="000000" w:themeColor="text1"/>
          <w:sz w:val="28"/>
          <w:szCs w:val="28"/>
        </w:rPr>
        <w:t xml:space="preserve">в Приложении № 2 к настоящим Техническим требованиям </w:t>
      </w:r>
      <w:r>
        <w:rPr>
          <w:sz w:val="28"/>
          <w:szCs w:val="28"/>
        </w:rPr>
        <w:t xml:space="preserve"> (</w:t>
      </w:r>
      <w:r>
        <w:rPr>
          <w:color w:val="auto"/>
          <w:sz w:val="28"/>
          <w:szCs w:val="28"/>
        </w:rPr>
        <w:t xml:space="preserve">в случае</w:t>
      </w:r>
      <w:r>
        <w:rPr>
          <w:sz w:val="28"/>
          <w:szCs w:val="28"/>
        </w:rPr>
        <w:t xml:space="preserve"> закупки оборудования (материалов) комплектом в спецификации необходимо разбить его на позиции с указанием полного наименования (тип, марка, артикул) каждой составляющей и стоимости за единицу).</w:t>
      </w:r>
      <w:r>
        <w:rPr>
          <w:sz w:val="32"/>
          <w:szCs w:val="32"/>
        </w:rPr>
        <w:br w:type="page" w:clear="all"/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935"/>
        <w:ind w:left="357" w:hanging="357"/>
        <w:jc w:val="center"/>
        <w:keepLines/>
      </w:pPr>
      <w:r>
        <w:t xml:space="preserve">Требования к документации по ценообразованию на этапе заключения (исполнения) договора.</w:t>
      </w:r>
      <w:r/>
    </w:p>
    <w:p>
      <w:r/>
      <w:r/>
    </w:p>
    <w:p>
      <w:pPr>
        <w:jc w:val="both"/>
        <w:rPr>
          <w:color w:val="000000" w:themeColor="text1"/>
        </w:rPr>
      </w:pPr>
      <w:r>
        <w:t xml:space="preserve">4.1 В рамках реализации договора сметную документацию в обоснование стоимости сопутствующи</w:t>
      </w:r>
      <w:r>
        <w:t xml:space="preserve">х услуг (шеф-монтажным и пусконаладочным работам) необходимо составлять и оформлять в соответствии с требованиями к оформлению и составлению сметной документации на оказание услуг по </w:t>
      </w:r>
      <w:r>
        <w:t xml:space="preserve">шеф-монтажным и пусконаладочным работам</w:t>
      </w:r>
      <w:r>
        <w:t xml:space="preserve">,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указанными в Приложении № 2.1 к настоящим Техническим требованиям.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r>
        <w:br w:type="page" w:clear="all"/>
      </w:r>
      <w:r/>
    </w:p>
    <w:p>
      <w:pPr>
        <w:pStyle w:val="935"/>
        <w:ind w:left="357" w:hanging="357"/>
        <w:jc w:val="center"/>
        <w:keepLines/>
      </w:pPr>
      <w:r>
        <w:t xml:space="preserve">Приложения</w:t>
      </w:r>
      <w:r/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№1 к ТТ - Технические характеристики погружного электронасоса;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№2 </w:t>
      </w:r>
      <w:r>
        <w:rPr>
          <w:sz w:val="24"/>
          <w:szCs w:val="24"/>
        </w:rPr>
        <w:t xml:space="preserve">к ТТ - </w:t>
      </w:r>
      <w:r/>
      <w:r>
        <w:rPr>
          <w:sz w:val="24"/>
          <w:szCs w:val="24"/>
          <w:highlight w:val="none"/>
        </w:rPr>
        <w:t xml:space="preserve">Требования к оформлению и составлению документации по ценообразованию, Спецификация поставляемого оборудования;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left"/>
        <w:rPr>
          <w:b/>
          <w:bCs/>
          <w:caps/>
          <w:sz w:val="24"/>
          <w:szCs w:val="24"/>
        </w:rPr>
      </w:pPr>
      <w:r>
        <w:rPr>
          <w:sz w:val="24"/>
          <w:szCs w:val="24"/>
          <w:highlight w:val="none"/>
        </w:rPr>
        <w:t xml:space="preserve">Приложение №2.1 к ТТ - </w:t>
      </w:r>
      <w:r>
        <w:rPr>
          <w:sz w:val="24"/>
          <w:szCs w:val="24"/>
          <w:highlight w:val="none"/>
        </w:rPr>
        <w:t xml:space="preserve">Требования к оформлению и составлению документации на оказание услуг по шеф-монтажным и пусконаладочным работам;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Приложение №3 к ТТ -</w:t>
      </w:r>
      <w:r>
        <w:rPr>
          <w:sz w:val="24"/>
          <w:szCs w:val="24"/>
          <w:highlight w:val="white"/>
        </w:rPr>
        <w:t xml:space="preserve"> Технические характеристики шкаф управления;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67"/>
        <w:rPr>
          <w:iCs/>
        </w:rPr>
        <w:sectPr>
          <w:headerReference w:type="default" r:id="rId14"/>
          <w:headerReference w:type="first" r:id="rId15"/>
          <w:footnotePr>
            <w:numRestart w:val="eachPage"/>
          </w:footnotePr>
          <w:endnotePr/>
          <w:type w:val="nextPage"/>
          <w:pgSz w:w="11906" w:h="16838" w:orient="portrait"/>
          <w:pgMar w:top="1134" w:right="851" w:bottom="992" w:left="1134" w:header="680" w:footer="0" w:gutter="0"/>
          <w:cols w:num="1" w:sep="0" w:space="1701" w:equalWidth="1"/>
          <w:docGrid w:linePitch="360"/>
          <w:titlePg/>
        </w:sectPr>
      </w:pPr>
      <w:r>
        <w:rPr>
          <w:iCs/>
        </w:rPr>
      </w:r>
      <w:r>
        <w:br w:type="page" w:clear="all"/>
      </w:r>
      <w:r>
        <w:rPr>
          <w:iCs/>
        </w:rPr>
      </w:r>
      <w:r>
        <w:rPr>
          <w:iCs/>
        </w:rPr>
      </w:r>
    </w:p>
    <w:p>
      <w:pPr>
        <w:jc w:val="center"/>
        <w:spacing w:before="240" w:after="120"/>
        <w:rPr>
          <w:b/>
          <w:bCs/>
          <w:i/>
          <w:caps/>
          <w:sz w:val="24"/>
          <w:szCs w:val="24"/>
          <w:shd w:val="clear" w:color="auto" w:fill="ffff99"/>
        </w:rPr>
      </w:pPr>
      <w:r>
        <w:rPr>
          <w:b/>
          <w:bCs/>
          <w:caps/>
          <w:sz w:val="24"/>
          <w:szCs w:val="24"/>
        </w:rPr>
        <w:t xml:space="preserve">Требования </w:t>
      </w:r>
      <w:r>
        <w:rPr>
          <w:b/>
          <w:bCs/>
          <w:caps/>
          <w:sz w:val="24"/>
          <w:szCs w:val="24"/>
        </w:rPr>
        <w:br/>
        <w:t xml:space="preserve">к оформлению и составлению документации по ценообразованию</w:t>
      </w:r>
      <w:r>
        <w:rPr>
          <w:b/>
          <w:bCs/>
          <w:i/>
          <w:caps/>
          <w:sz w:val="24"/>
          <w:szCs w:val="24"/>
          <w:shd w:val="clear" w:color="auto" w:fill="ffff99"/>
        </w:rPr>
      </w:r>
      <w:r>
        <w:rPr>
          <w:b/>
          <w:bCs/>
          <w:i/>
          <w:caps/>
          <w:sz w:val="24"/>
          <w:szCs w:val="24"/>
          <w:shd w:val="clear" w:color="auto" w:fill="ffff99"/>
        </w:rPr>
      </w:r>
    </w:p>
    <w:p>
      <w:pPr>
        <w:keepLines/>
        <w:keepNext/>
        <w:spacing w:after="120"/>
        <w:rPr>
          <w:sz w:val="24"/>
          <w:szCs w:val="24"/>
        </w:rPr>
      </w:pPr>
      <w:r/>
      <w:bookmarkStart w:id="270" w:name="_Hlk48224758"/>
      <w:r/>
      <w:bookmarkStart w:id="271" w:name="_Ref40301253"/>
      <w:r/>
      <w:bookmarkEnd w:id="270"/>
      <w:r/>
      <w:bookmarkEnd w:id="27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before="120" w:after="120"/>
        <w:widowControl w:val="off"/>
        <w:tabs>
          <w:tab w:val="left" w:pos="426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№2 к ТТ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Спецификация поставляемого оборудования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tbl>
      <w:tblPr>
        <w:tblW w:w="15047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506"/>
        <w:gridCol w:w="1508"/>
        <w:gridCol w:w="993"/>
        <w:gridCol w:w="1416"/>
        <w:gridCol w:w="1276"/>
        <w:gridCol w:w="1703"/>
        <w:gridCol w:w="1133"/>
        <w:gridCol w:w="1276"/>
        <w:gridCol w:w="1276"/>
        <w:gridCol w:w="1276"/>
        <w:gridCol w:w="1133"/>
        <w:gridCol w:w="1551"/>
      </w:tblGrid>
      <w:tr>
        <w:tblPrEx/>
        <w:trPr>
          <w:trHeight w:val="100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№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  <w:p>
            <w:pPr>
              <w:jc w:val="center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п/п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Наименование оборудования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Тип, марка, артикул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Изготовитель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Страна происхождения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Технические характеристики (описание)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Единица измерения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Количество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Стоимость ед. (руб. без НДС) </w:t>
            </w:r>
            <w:r>
              <w:rPr>
                <w:b/>
                <w:color w:val="000000"/>
                <w:sz w:val="20"/>
              </w:rPr>
              <w:t xml:space="preserve">*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Общая стоимость (руб. без НДС)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Срок поставки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1" w:type="dxa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Перечень документов, подтверждающих качество Оборудования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1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2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3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4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5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center"/>
            <w:textDirection w:val="lrTb"/>
            <w:noWrap w:val="false"/>
          </w:tcPr>
          <w:p>
            <w:pPr>
              <w:ind w:left="430" w:hanging="430"/>
              <w:jc w:val="center"/>
              <w:widowControl w:val="off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6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7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8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9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10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11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551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12</w: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5" w:type="dxa"/>
            <w:vAlign w:val="bottom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08" w:type="dxa"/>
            <w:vAlign w:val="bottom"/>
            <w:textDirection w:val="lrTb"/>
            <w:noWrap w:val="false"/>
          </w:tcPr>
          <w:p>
            <w:pPr>
              <w:rPr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r>
            <w:r>
              <w:rPr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 xml:space="preserve">Насос погружной фекальный  с опускным устройством (без направляющих)</w:t>
            </w:r>
            <w:r>
              <w:rPr>
                <w:b w:val="0"/>
                <w:bCs w:val="0"/>
                <w:i/>
                <w:iCs/>
                <w:color w:val="auto"/>
                <w:sz w:val="24"/>
                <w:szCs w:val="24"/>
              </w:rPr>
            </w:r>
            <w:r>
              <w:rPr>
                <w:b w:val="0"/>
                <w:bCs w:val="0"/>
                <w:i/>
                <w:iCs/>
                <w:color w:val="auto"/>
                <w:sz w:val="24"/>
                <w:szCs w:val="24"/>
              </w:rPr>
            </w:r>
          </w:p>
          <w:p>
            <w:pPr>
              <w:rPr>
                <w:i/>
                <w:iCs/>
                <w:color w:val="auto"/>
                <w:sz w:val="24"/>
                <w:szCs w:val="24"/>
              </w:rPr>
            </w:pPr>
            <w:r>
              <w:rPr>
                <w:color w:val="auto"/>
                <w:sz w:val="22"/>
                <w:szCs w:val="22"/>
              </w:rPr>
            </w:r>
            <w:r>
              <w:rPr>
                <w:i/>
                <w:iCs/>
                <w:color w:val="auto"/>
                <w:sz w:val="24"/>
                <w:szCs w:val="24"/>
              </w:rPr>
            </w:r>
            <w:r>
              <w:rPr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ТТ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bottom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sz w:val="20"/>
                <w:szCs w:val="20"/>
              </w:rPr>
              <w:t xml:space="preserve">шт.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right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right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1" w:type="dxa"/>
            <w:textDirection w:val="lrTb"/>
            <w:noWrap w:val="false"/>
          </w:tcPr>
          <w:p>
            <w:pPr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</w:tr>
      <w:tr>
        <w:tblPrEx/>
        <w:trPr>
          <w:trHeight w:val="23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5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08" w:type="dxa"/>
            <w:vAlign w:val="bottom"/>
            <w:vMerge w:val="restart"/>
            <w:textDirection w:val="lrTb"/>
            <w:noWrap w:val="false"/>
          </w:tcPr>
          <w:p>
            <w:pPr>
              <w:widowControl w:val="off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</w:r>
            <w:r>
              <w:rPr>
                <w:color w:val="auto"/>
                <w:sz w:val="22"/>
                <w:szCs w:val="22"/>
              </w:rPr>
              <w:t xml:space="preserve">Шкаф управления </w:t>
            </w:r>
            <w:r>
              <w:rPr>
                <w:color w:val="auto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bottom"/>
            <w:vMerge w:val="restart"/>
            <w:textDirection w:val="lrTb"/>
            <w:noWrap w:val="false"/>
          </w:tcPr>
          <w:p>
            <w:pPr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bottom"/>
            <w:vMerge w:val="restart"/>
            <w:textDirection w:val="lrTb"/>
            <w:noWrap w:val="false"/>
          </w:tcPr>
          <w:p>
            <w:pPr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vAlign w:val="bottom"/>
            <w:vMerge w:val="restart"/>
            <w:textDirection w:val="lrTb"/>
            <w:noWrap w:val="false"/>
          </w:tcPr>
          <w:p>
            <w:pPr>
              <w:widowControl w:val="off"/>
              <w:rPr>
                <w:color w:val="000000"/>
                <w:sz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Cs/>
                <w:sz w:val="20"/>
                <w:szCs w:val="20"/>
              </w:rPr>
              <w:t xml:space="preserve">Согласно  ТТ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bottom"/>
            <w:vMerge w:val="restart"/>
            <w:textDirection w:val="lrTb"/>
            <w:noWrap w:val="false"/>
          </w:tcPr>
          <w:p>
            <w:pPr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шт.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vMerge w:val="restart"/>
            <w:textDirection w:val="lrTb"/>
            <w:noWrap w:val="false"/>
          </w:tcPr>
          <w:p>
            <w:pPr>
              <w:jc w:val="left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1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vMerge w:val="restart"/>
            <w:textDirection w:val="lrTb"/>
            <w:noWrap w:val="false"/>
          </w:tcPr>
          <w:p>
            <w:pPr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bottom"/>
            <w:vMerge w:val="restart"/>
            <w:textDirection w:val="lrTb"/>
            <w:noWrap w:val="false"/>
          </w:tcPr>
          <w:p>
            <w:pPr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</w:tr>
    </w:tbl>
    <w:p>
      <w:pPr>
        <w:jc w:val="both"/>
      </w:pPr>
      <w:r/>
      <w:r/>
    </w:p>
    <w:p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Примечание</w:t>
      </w:r>
      <w:r>
        <w:rPr>
          <w:sz w:val="24"/>
          <w:szCs w:val="24"/>
        </w:rPr>
        <w:t xml:space="preserve">: </w:t>
      </w:r>
      <w:r>
        <w:rPr>
          <w:color w:val="000000" w:themeColor="text1"/>
          <w:sz w:val="24"/>
          <w:szCs w:val="24"/>
        </w:rPr>
        <w:t xml:space="preserve">в случае закупки</w:t>
      </w:r>
      <w:r>
        <w:rPr>
          <w:color w:val="000000" w:themeColor="text1"/>
          <w:sz w:val="24"/>
          <w:szCs w:val="24"/>
        </w:rPr>
        <w:t xml:space="preserve"> о</w:t>
      </w:r>
      <w:r>
        <w:rPr>
          <w:sz w:val="24"/>
          <w:szCs w:val="24"/>
        </w:rPr>
        <w:t xml:space="preserve">борудования (материалов) комплектом, в спецификации необходимо разбить его на позиции (ценообразующие и являющиеся оборудованием) с указанием полного наименования (тип, марка, артикул) каждой составляющей и стоимости за единицу.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  <w:sectPr>
          <w:headerReference w:type="default" r:id="rId16"/>
          <w:headerReference w:type="first" r:id="rId17"/>
          <w:footnotePr>
            <w:numRestart w:val="eachPage"/>
          </w:footnotePr>
          <w:endnotePr/>
          <w:type w:val="nextPage"/>
          <w:pgSz w:w="16838" w:h="11906" w:orient="landscape"/>
          <w:pgMar w:top="1304" w:right="539" w:bottom="924" w:left="1134" w:header="709" w:footer="0" w:gutter="0"/>
          <w:cols w:num="1" w:sep="0" w:space="1701" w:equalWidth="1"/>
          <w:docGrid w:linePitch="360"/>
        </w:sectPr>
      </w:pPr>
      <w:r>
        <w:rPr>
          <w:b/>
          <w:sz w:val="24"/>
          <w:szCs w:val="24"/>
        </w:rPr>
        <w:t xml:space="preserve">*</w:t>
      </w:r>
      <w:r>
        <w:rPr>
          <w:sz w:val="24"/>
          <w:szCs w:val="24"/>
        </w:rPr>
        <w:t xml:space="preserve">В случае включения в спецификацию стоимости за единицу оборудования, МТР с учетом доставки, указать данное условие.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right"/>
        <w:tabs>
          <w:tab w:val="left" w:pos="1134" w:leader="none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Приложение №2.1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567"/>
        <w:jc w:val="right"/>
        <w:tabs>
          <w:tab w:val="left" w:pos="1134" w:leader="none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к Техническим требованиям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567"/>
        <w:jc w:val="both"/>
        <w:tabs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  <w:tabs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Требования </w:t>
      </w:r>
      <w:r>
        <w:rPr>
          <w:b/>
          <w:bCs/>
          <w:caps/>
          <w:sz w:val="24"/>
          <w:szCs w:val="24"/>
        </w:rPr>
        <w:br/>
        <w:t xml:space="preserve">к оформлению и составлению документации на оказание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jc w:val="center"/>
        <w:rPr>
          <w:b/>
          <w:bCs/>
          <w:i/>
          <w:caps/>
          <w:shd w:val="clear" w:color="auto" w:fill="ffff99"/>
        </w:rPr>
      </w:pPr>
      <w:r>
        <w:rPr>
          <w:b/>
          <w:bCs/>
          <w:caps/>
          <w:sz w:val="24"/>
          <w:szCs w:val="24"/>
        </w:rPr>
        <w:t xml:space="preserve">по шеф-монтажным и пусконаладочным работам</w:t>
      </w:r>
      <w:r>
        <w:rPr>
          <w:b/>
          <w:bCs/>
          <w:i/>
          <w:caps/>
          <w:shd w:val="clear" w:color="auto" w:fill="ffff99"/>
        </w:rPr>
      </w:r>
      <w:r>
        <w:rPr>
          <w:b/>
          <w:bCs/>
          <w:i/>
          <w:caps/>
          <w:shd w:val="clear" w:color="auto" w:fill="ffff99"/>
        </w:rPr>
      </w:r>
    </w:p>
    <w:p>
      <w:pPr>
        <w:ind w:firstLine="567"/>
        <w:jc w:val="both"/>
        <w:tabs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200"/>
        <w:numPr>
          <w:ilvl w:val="0"/>
          <w:numId w:val="29"/>
        </w:numPr>
        <w:ind w:left="0" w:firstLine="567"/>
        <w:jc w:val="both"/>
        <w:widowControl/>
        <w:tabs>
          <w:tab w:val="left" w:pos="426" w:leader="none"/>
          <w:tab w:val="left" w:pos="993" w:leader="none"/>
        </w:tabs>
        <w:rPr>
          <w:rFonts w:ascii="Times New Roman" w:hAnsi="Times New Roman" w:cs="Times New Roman"/>
          <w:b/>
          <w:bCs/>
          <w:strike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Стоимость</w:t>
      </w:r>
      <w:r>
        <w:rPr>
          <w:rFonts w:ascii="Times New Roman" w:hAnsi="Times New Roman"/>
          <w:sz w:val="24"/>
          <w:szCs w:val="24"/>
        </w:rPr>
        <w:t xml:space="preserve"> шеф - монтажных и пусконаладочных работ опр</w:t>
      </w:r>
      <w:r>
        <w:rPr>
          <w:rFonts w:ascii="Times New Roman" w:hAnsi="Times New Roman"/>
          <w:sz w:val="24"/>
          <w:szCs w:val="24"/>
        </w:rPr>
        <w:t xml:space="preserve">еделяется отдельными расчетами. Расчет стоимости </w:t>
      </w:r>
      <w:r>
        <w:rPr>
          <w:rFonts w:ascii="Times New Roman" w:hAnsi="Times New Roman"/>
          <w:sz w:val="24"/>
          <w:szCs w:val="24"/>
        </w:rPr>
        <w:t xml:space="preserve">шеф - монтажных и пусконаладочных</w:t>
      </w:r>
      <w:r>
        <w:rPr>
          <w:rFonts w:ascii="Times New Roman" w:hAnsi="Times New Roman"/>
          <w:sz w:val="24"/>
          <w:szCs w:val="24"/>
        </w:rPr>
        <w:t xml:space="preserve"> работ выполняется по форме 3П с предоставлением подтверждающих документов по уровню з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аработной платы, удельному весу накладных расходов в себестоимости, уровню рентабельности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(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образец формы расчета представлен в Приложении № 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к настоящим требованиям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Стоимость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шеф - монтажных и пусконаладочных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 в стоимость оборудования не включается.</w:t>
      </w:r>
      <w:r>
        <w:rPr>
          <w:rFonts w:ascii="Times New Roman" w:hAnsi="Times New Roman" w:cs="Times New Roman"/>
          <w:b/>
          <w:bCs/>
          <w:strike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strike/>
          <w:color w:val="000000" w:themeColor="text1"/>
          <w:sz w:val="24"/>
          <w:szCs w:val="24"/>
        </w:rPr>
      </w:r>
    </w:p>
    <w:p>
      <w:pPr>
        <w:pStyle w:val="1200"/>
        <w:numPr>
          <w:ilvl w:val="0"/>
          <w:numId w:val="29"/>
        </w:numPr>
        <w:ind w:left="0" w:firstLine="567"/>
        <w:jc w:val="both"/>
        <w:widowControl/>
        <w:tabs>
          <w:tab w:val="left" w:pos="426" w:leader="none"/>
          <w:tab w:val="left" w:pos="993" w:leader="none"/>
        </w:tabs>
        <w:rPr>
          <w:rFonts w:ascii="Times New Roman" w:hAnsi="Times New Roman" w:cs="Times New Roman"/>
          <w:b/>
          <w:bCs/>
          <w:strike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Пояснительная записка по заполнению формы 3п при составлении смет на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шеф - монтажные и пусконаладочные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отражена в приложении №1 к настоящим Требованиям.</w:t>
      </w:r>
      <w:r>
        <w:rPr>
          <w:rFonts w:ascii="Times New Roman" w:hAnsi="Times New Roman" w:cs="Times New Roman"/>
          <w:b/>
          <w:bCs/>
          <w:strike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strike/>
          <w:color w:val="000000" w:themeColor="text1"/>
          <w:sz w:val="24"/>
          <w:szCs w:val="24"/>
        </w:rPr>
      </w:r>
    </w:p>
    <w:p>
      <w:pPr>
        <w:pStyle w:val="1190"/>
        <w:numPr>
          <w:ilvl w:val="0"/>
          <w:numId w:val="29"/>
        </w:numPr>
        <w:ind w:left="0" w:firstLine="567"/>
        <w:jc w:val="both"/>
        <w:tabs>
          <w:tab w:val="left" w:pos="426" w:leader="none"/>
          <w:tab w:val="left" w:pos="993" w:leader="none"/>
        </w:tabs>
      </w:pPr>
      <w:r>
        <w:t xml:space="preserve">Смету на </w:t>
      </w:r>
      <w:r>
        <w:rPr>
          <w:rFonts w:ascii="Times New Roman" w:hAnsi="Times New Roman"/>
          <w:sz w:val="24"/>
          <w:szCs w:val="24"/>
        </w:rPr>
        <w:t xml:space="preserve">шеф - монтажные и пусконаладочные</w:t>
      </w:r>
      <w:r>
        <w:t xml:space="preserve"> работы представить в формате: «Excel» и «</w:t>
      </w:r>
      <w:r>
        <w:rPr>
          <w:lang w:val="en-US"/>
        </w:rPr>
        <w:t xml:space="preserve">pdf</w:t>
      </w:r>
      <w:r>
        <w:t xml:space="preserve">» (с подписями и печатью).</w:t>
      </w:r>
      <w:r/>
    </w:p>
    <w:p>
      <w:pPr>
        <w:pStyle w:val="1200"/>
        <w:ind w:left="567" w:firstLine="0"/>
        <w:jc w:val="both"/>
        <w:widowControl/>
        <w:tabs>
          <w:tab w:val="left" w:pos="426" w:leader="none"/>
          <w:tab w:val="left" w:pos="993" w:leader="none"/>
        </w:tabs>
        <w:rPr>
          <w:rFonts w:ascii="Times New Roman" w:hAnsi="Times New Roman" w:cs="Times New Roman"/>
          <w:b/>
          <w:bCs/>
          <w:strike/>
          <w:sz w:val="24"/>
          <w:szCs w:val="24"/>
        </w:rPr>
      </w:pPr>
      <w:r>
        <w:rPr>
          <w:rFonts w:ascii="Times New Roman" w:hAnsi="Times New Roman" w:cs="Times New Roman"/>
          <w:b/>
          <w:bCs/>
          <w:strike/>
          <w:sz w:val="24"/>
          <w:szCs w:val="24"/>
        </w:rPr>
      </w:r>
      <w:r>
        <w:rPr>
          <w:rFonts w:ascii="Times New Roman" w:hAnsi="Times New Roman" w:cs="Times New Roman"/>
          <w:b/>
          <w:bCs/>
          <w:strike/>
          <w:sz w:val="24"/>
          <w:szCs w:val="24"/>
        </w:rPr>
      </w:r>
      <w:r>
        <w:rPr>
          <w:rFonts w:ascii="Times New Roman" w:hAnsi="Times New Roman" w:cs="Times New Roman"/>
          <w:b/>
          <w:bCs/>
          <w:strike/>
          <w:sz w:val="24"/>
          <w:szCs w:val="24"/>
        </w:rPr>
      </w:r>
    </w:p>
    <w:p>
      <w:pPr>
        <w:rPr>
          <w:b/>
          <w:color w:val="000000"/>
          <w:sz w:val="20"/>
          <w:szCs w:val="20"/>
        </w:rPr>
      </w:pPr>
      <w:r/>
      <w:bookmarkStart w:id="275" w:name="undefined"/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№1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right"/>
        <w:rPr>
          <w:sz w:val="20"/>
        </w:rPr>
      </w:pPr>
      <w:r>
        <w:rPr>
          <w:sz w:val="20"/>
        </w:rPr>
        <w:t xml:space="preserve">к Требованиям к оформлению и </w:t>
      </w:r>
      <w:r>
        <w:rPr>
          <w:sz w:val="20"/>
        </w:rPr>
      </w:r>
      <w:r>
        <w:rPr>
          <w:sz w:val="20"/>
        </w:rPr>
      </w:r>
    </w:p>
    <w:p>
      <w:pPr>
        <w:jc w:val="right"/>
        <w:rPr>
          <w:sz w:val="20"/>
        </w:rPr>
      </w:pPr>
      <w:r>
        <w:rPr>
          <w:sz w:val="20"/>
        </w:rPr>
        <w:t xml:space="preserve">составлению документации </w:t>
      </w:r>
      <w:r>
        <w:rPr>
          <w:sz w:val="20"/>
        </w:rPr>
      </w:r>
      <w:r>
        <w:rPr>
          <w:sz w:val="20"/>
        </w:rPr>
      </w:r>
    </w:p>
    <w:p>
      <w:pPr>
        <w:jc w:val="right"/>
        <w:rPr>
          <w:sz w:val="20"/>
        </w:rPr>
      </w:pPr>
      <w:r>
        <w:rPr>
          <w:sz w:val="20"/>
        </w:rPr>
        <w:t xml:space="preserve">на оказание услуг </w:t>
      </w:r>
      <w:r>
        <w:rPr>
          <w:sz w:val="20"/>
        </w:rPr>
      </w:r>
      <w:r>
        <w:rPr>
          <w:sz w:val="20"/>
        </w:rPr>
      </w:r>
    </w:p>
    <w:p>
      <w:pPr>
        <w:jc w:val="right"/>
        <w:rPr>
          <w:sz w:val="20"/>
        </w:rPr>
      </w:pPr>
      <w:r>
        <w:rPr>
          <w:sz w:val="20"/>
        </w:rPr>
        <w:t xml:space="preserve">по шеф-монтажу и шеф-наладке</w:t>
      </w:r>
      <w:r>
        <w:rPr>
          <w:sz w:val="20"/>
        </w:rPr>
      </w:r>
      <w:r>
        <w:rPr>
          <w:sz w:val="20"/>
        </w:rPr>
      </w:r>
    </w:p>
    <w:p>
      <w:pPr>
        <w:ind w:left="5811"/>
        <w:jc w:val="right"/>
        <w:rPr>
          <w:color w:val="000000"/>
          <w:sz w:val="16"/>
          <w:szCs w:val="22"/>
        </w:rPr>
      </w:pPr>
      <w:r>
        <w:rPr>
          <w:color w:val="000000"/>
          <w:sz w:val="16"/>
          <w:szCs w:val="22"/>
        </w:rPr>
      </w:r>
      <w:r>
        <w:rPr>
          <w:color w:val="000000"/>
          <w:sz w:val="16"/>
          <w:szCs w:val="22"/>
        </w:rPr>
      </w:r>
      <w:r>
        <w:rPr>
          <w:color w:val="000000"/>
          <w:sz w:val="16"/>
          <w:szCs w:val="22"/>
        </w:rPr>
      </w:r>
    </w:p>
    <w:p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ПОЯСНИТЕЛЬНАЯ ЗАПИСКА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по заполнению формы №3п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при составлении смет на шеф-монтажные, пусконаладочные работы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540"/>
        <w:jc w:val="both"/>
        <w:tabs>
          <w:tab w:val="left" w:pos="1080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7"/>
        </w:numPr>
        <w:contextualSpacing/>
        <w:ind w:left="0" w:firstLine="709"/>
        <w:jc w:val="both"/>
        <w:tabs>
          <w:tab w:val="left" w:pos="993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numPr>
          <w:ilvl w:val="0"/>
          <w:numId w:val="27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Расчетом по трудозатратам (форма №3п) рекомендуется определять стоимость работ, цены на которые отсутствуют в СБЦ и СЦ, внесенных в ФРСН.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numPr>
          <w:ilvl w:val="0"/>
          <w:numId w:val="27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Форма сметы для определения затрат по себестоимости и уровню рентабельности (форма №3п) приведена в образце 3П Приложения 2.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numPr>
          <w:ilvl w:val="0"/>
          <w:numId w:val="27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sz w:val="24"/>
          <w:szCs w:val="24"/>
        </w:rPr>
        <w:t xml:space="preserve">Результаты вычислений и итоговые данные по разделам расчета </w:t>
      </w:r>
      <w:r>
        <w:rPr>
          <w:sz w:val="24"/>
          <w:szCs w:val="24"/>
          <w:u w:val="single"/>
        </w:rPr>
        <w:t xml:space="preserve">округлять до целых рублей.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numPr>
          <w:ilvl w:val="0"/>
          <w:numId w:val="27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Особенности заполнения формы 3п.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ind w:firstLine="709"/>
        <w:jc w:val="both"/>
        <w:tabs>
          <w:tab w:val="left" w:pos="993" w:leader="none"/>
        </w:tabs>
        <w:rPr>
          <w:sz w:val="22"/>
          <w:szCs w:val="22"/>
          <w:u w:val="single"/>
        </w:rPr>
      </w:pPr>
      <w:r>
        <w:rPr>
          <w:sz w:val="24"/>
          <w:szCs w:val="24"/>
          <w:u w:val="single"/>
        </w:rPr>
        <w:t xml:space="preserve">Раздел 1. Расчет заработной платы:</w:t>
      </w:r>
      <w:r>
        <w:rPr>
          <w:sz w:val="22"/>
          <w:szCs w:val="22"/>
          <w:u w:val="single"/>
        </w:rPr>
      </w:r>
      <w:r>
        <w:rPr>
          <w:sz w:val="22"/>
          <w:szCs w:val="22"/>
          <w:u w:val="single"/>
        </w:rPr>
      </w:r>
    </w:p>
    <w:p>
      <w:pPr>
        <w:numPr>
          <w:ilvl w:val="0"/>
          <w:numId w:val="26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графе 1 приводится нумерация выполняемых работ;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numPr>
          <w:ilvl w:val="0"/>
          <w:numId w:val="26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графе 2 приводится наименование выполняемых работ;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numPr>
          <w:ilvl w:val="0"/>
          <w:numId w:val="26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графе 3 указывается количество привлекаемых работников;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numPr>
          <w:ilvl w:val="0"/>
          <w:numId w:val="26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numPr>
          <w:ilvl w:val="0"/>
          <w:numId w:val="26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графе 5 для каждой должностной группы (при необходимости с указанием конкретных</w:t>
      </w:r>
      <w:r>
        <w:rPr>
          <w:rFonts w:eastAsia="Calibri"/>
          <w:sz w:val="24"/>
          <w:szCs w:val="24"/>
          <w:lang w:eastAsia="en-US"/>
        </w:rPr>
        <w:t xml:space="preserve">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numPr>
          <w:ilvl w:val="0"/>
          <w:numId w:val="26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графе 6 приводятся данные по стоимости 1 человеко-дня в рублях по категориям работников. Стоимость 1 человеко-дня непосре</w:t>
      </w:r>
      <w:r>
        <w:rPr>
          <w:rFonts w:eastAsia="Calibri"/>
          <w:sz w:val="24"/>
          <w:szCs w:val="24"/>
          <w:lang w:eastAsia="en-US"/>
        </w:rPr>
        <w:t xml:space="preserve">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numPr>
          <w:ilvl w:val="0"/>
          <w:numId w:val="26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графе 7 указывается заработная плата в рублях (</w:t>
      </w:r>
      <w:r>
        <w:rPr>
          <w:rFonts w:eastAsia="Calibri"/>
          <w:b/>
          <w:sz w:val="24"/>
          <w:szCs w:val="24"/>
          <w:u w:val="single"/>
          <w:lang w:eastAsia="en-US"/>
        </w:rPr>
        <w:t xml:space="preserve">результат перемножения граф 5 и 6</w:t>
      </w:r>
      <w:r>
        <w:rPr>
          <w:rFonts w:eastAsia="Calibri"/>
          <w:sz w:val="24"/>
          <w:szCs w:val="24"/>
          <w:lang w:eastAsia="en-US"/>
        </w:rPr>
        <w:t xml:space="preserve">);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Данные по к</w:t>
      </w:r>
      <w:r>
        <w:rPr>
          <w:rFonts w:eastAsia="Calibri"/>
          <w:sz w:val="24"/>
          <w:szCs w:val="24"/>
          <w:lang w:eastAsia="en-US"/>
        </w:rPr>
        <w:t xml:space="preserve">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sz w:val="22"/>
          <w:szCs w:val="22"/>
          <w:u w:val="single"/>
        </w:rPr>
      </w:pPr>
      <w:r>
        <w:rPr>
          <w:sz w:val="24"/>
          <w:szCs w:val="24"/>
          <w:u w:val="single"/>
        </w:rPr>
        <w:t xml:space="preserve">Раздел 2. Расчет стоимости выполнения работ</w:t>
      </w:r>
      <w:r>
        <w:rPr>
          <w:sz w:val="22"/>
          <w:szCs w:val="22"/>
          <w:u w:val="single"/>
        </w:rPr>
      </w:r>
      <w:r>
        <w:rPr>
          <w:sz w:val="22"/>
          <w:szCs w:val="22"/>
          <w:u w:val="single"/>
        </w:rPr>
      </w:r>
    </w:p>
    <w:p>
      <w:pPr>
        <w:numPr>
          <w:ilvl w:val="0"/>
          <w:numId w:val="26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пункте 2.1 указываются на</w:t>
      </w:r>
      <w:r>
        <w:rPr>
          <w:rFonts w:eastAsia="Calibri"/>
          <w:sz w:val="24"/>
          <w:szCs w:val="24"/>
          <w:lang w:eastAsia="en-US"/>
        </w:rPr>
        <w:t xml:space="preserve">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numPr>
          <w:ilvl w:val="0"/>
          <w:numId w:val="26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numPr>
          <w:ilvl w:val="0"/>
          <w:numId w:val="26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numPr>
          <w:ilvl w:val="0"/>
          <w:numId w:val="26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уровень рентабельности по отношению к себестоимости может составлять до 15%.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sz w:val="22"/>
          <w:szCs w:val="22"/>
        </w:rPr>
      </w:pPr>
      <w:r>
        <w:rPr>
          <w:sz w:val="24"/>
          <w:szCs w:val="24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№1.1 к пояснительной записке по заполнению формы 3П).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sz w:val="22"/>
          <w:szCs w:val="22"/>
          <w:u w:val="single"/>
        </w:rPr>
      </w:pPr>
      <w:r>
        <w:rPr>
          <w:sz w:val="24"/>
          <w:szCs w:val="24"/>
          <w:u w:val="single"/>
        </w:rPr>
        <w:t xml:space="preserve">Раздел 3. Расчет командировочных расходов.</w:t>
      </w:r>
      <w:r>
        <w:rPr>
          <w:sz w:val="22"/>
          <w:szCs w:val="22"/>
          <w:u w:val="single"/>
        </w:rPr>
      </w:r>
      <w:r>
        <w:rPr>
          <w:sz w:val="22"/>
          <w:szCs w:val="22"/>
          <w:u w:val="single"/>
        </w:rPr>
      </w:r>
    </w:p>
    <w:p>
      <w:pPr>
        <w:ind w:firstLine="709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4"/>
          <w:szCs w:val="24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1.2) с расшифровкой затрат на проезд, проживание, суточные расходы.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4"/>
          <w:szCs w:val="24"/>
        </w:rPr>
        <w:t xml:space="preserve">Стоимость проезда необходимо указать по каждому виду транспорта отдельно туда и отдельно обратно.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4"/>
          <w:szCs w:val="24"/>
        </w:rPr>
        <w:t xml:space="preserve">Размер расходов на проезд и стоимость проживания в гостинице определяется на момент составления расчета.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sz w:val="22"/>
          <w:szCs w:val="22"/>
        </w:rPr>
      </w:pPr>
      <w:r>
        <w:rPr>
          <w:sz w:val="24"/>
          <w:szCs w:val="24"/>
        </w:rPr>
        <w:t xml:space="preserve">Размеры возмещения расходов, связанных со служебными ко</w:t>
      </w:r>
      <w:r>
        <w:rPr>
          <w:sz w:val="24"/>
          <w:szCs w:val="24"/>
        </w:rPr>
        <w:t xml:space="preserve">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sz w:val="22"/>
          <w:szCs w:val="22"/>
        </w:rPr>
      </w:pPr>
      <w:r>
        <w:rPr>
          <w:sz w:val="24"/>
          <w:szCs w:val="24"/>
        </w:rPr>
        <w:t xml:space="preserve">Лимиты командировочных расходов: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8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highlight w:val="white"/>
        </w:rPr>
      </w:pPr>
      <w:r>
        <w:rPr>
          <w:rFonts w:eastAsia="Calibri"/>
          <w:sz w:val="24"/>
          <w:szCs w:val="24"/>
          <w:lang w:eastAsia="en-US"/>
        </w:rPr>
        <w:t xml:space="preserve">суточные - 7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00 руб./сутки;</w:t>
      </w:r>
      <w:r>
        <w:rPr>
          <w:rFonts w:eastAsia="Calibri"/>
          <w:sz w:val="22"/>
          <w:szCs w:val="22"/>
          <w:highlight w:val="white"/>
        </w:rPr>
      </w:r>
      <w:r>
        <w:rPr>
          <w:rFonts w:eastAsia="Calibri"/>
          <w:sz w:val="22"/>
          <w:szCs w:val="22"/>
          <w:highlight w:val="white"/>
        </w:rPr>
      </w:r>
    </w:p>
    <w:p>
      <w:pPr>
        <w:numPr>
          <w:ilvl w:val="0"/>
          <w:numId w:val="28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highlight w:val="white"/>
          <w:lang w:eastAsia="en-US"/>
        </w:rPr>
        <w:t xml:space="preserve">проживание - до 6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000 р</w:t>
      </w:r>
      <w:r>
        <w:rPr>
          <w:rFonts w:eastAsia="Calibri"/>
          <w:sz w:val="24"/>
          <w:szCs w:val="24"/>
          <w:lang w:eastAsia="en-US"/>
        </w:rPr>
        <w:t xml:space="preserve">уб./су</w:t>
      </w:r>
      <w:bookmarkEnd w:id="275"/>
      <w:r>
        <w:rPr>
          <w:rFonts w:eastAsia="Calibri"/>
          <w:sz w:val="24"/>
          <w:szCs w:val="24"/>
          <w:lang w:eastAsia="en-US"/>
        </w:rPr>
        <w:t xml:space="preserve">тки;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numPr>
          <w:ilvl w:val="0"/>
          <w:numId w:val="28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проезд: поезд (купе) или самолет (</w:t>
      </w:r>
      <w:r>
        <w:rPr>
          <w:color w:val="000000"/>
          <w:sz w:val="24"/>
          <w:szCs w:val="24"/>
        </w:rPr>
        <w:t xml:space="preserve">класс–эконом с багажом до 20 (двадцати) кг, ручная кладь до 10 (десяти) кг</w:t>
      </w:r>
      <w:r>
        <w:rPr>
          <w:rFonts w:eastAsia="Calibri"/>
          <w:sz w:val="24"/>
          <w:szCs w:val="24"/>
          <w:lang w:eastAsia="en-US"/>
        </w:rPr>
        <w:t xml:space="preserve">).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firstLine="709"/>
        <w:jc w:val="both"/>
        <w:tabs>
          <w:tab w:val="left" w:pos="567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sz w:val="24"/>
          <w:szCs w:val="24"/>
        </w:rPr>
        <w:t xml:space="preserve">Методом анализа ТКП в соответствии с Приложением 3 к настоящим требованиям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firstLine="709"/>
        <w:jc w:val="both"/>
        <w:tabs>
          <w:tab w:val="left" w:pos="567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jc w:val="both"/>
        <w:tabs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/>
        <w:jc w:val="both"/>
        <w:tabs>
          <w:tab w:val="left" w:pos="1080" w:leader="none"/>
        </w:tabs>
        <w:rPr>
          <w:rFonts w:eastAsia="Calibri"/>
          <w:lang w:eastAsia="en-US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568" w:right="924" w:bottom="720" w:left="993" w:header="709" w:footer="709" w:gutter="0"/>
          <w:cols w:num="1" w:sep="0" w:space="708" w:equalWidth="1"/>
          <w:docGrid w:linePitch="360"/>
        </w:sect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left="5811"/>
        <w:jc w:val="right"/>
        <w:rPr>
          <w:sz w:val="20"/>
        </w:rPr>
      </w:pPr>
      <w:r>
        <w:rPr>
          <w:sz w:val="20"/>
        </w:rPr>
        <w:t xml:space="preserve">Приложение №1.1</w:t>
      </w:r>
      <w:r>
        <w:rPr>
          <w:sz w:val="20"/>
        </w:rPr>
      </w:r>
      <w:r>
        <w:rPr>
          <w:sz w:val="20"/>
        </w:rPr>
      </w:r>
    </w:p>
    <w:p>
      <w:pPr>
        <w:ind w:left="5811"/>
        <w:jc w:val="right"/>
        <w:rPr>
          <w:sz w:val="20"/>
        </w:rPr>
      </w:pPr>
      <w:r>
        <w:rPr>
          <w:sz w:val="20"/>
        </w:rPr>
        <w:t xml:space="preserve">к пояснительной записке</w:t>
      </w:r>
      <w:r>
        <w:rPr>
          <w:sz w:val="20"/>
        </w:rPr>
      </w:r>
      <w:r>
        <w:rPr>
          <w:sz w:val="20"/>
        </w:rPr>
      </w:r>
    </w:p>
    <w:p>
      <w:pPr>
        <w:ind w:left="5811"/>
        <w:jc w:val="right"/>
        <w:rPr>
          <w:sz w:val="20"/>
        </w:rPr>
      </w:pPr>
      <w:r>
        <w:rPr>
          <w:sz w:val="20"/>
        </w:rPr>
        <w:t xml:space="preserve"> по заполнению формы 3П</w:t>
      </w:r>
      <w:r>
        <w:rPr>
          <w:sz w:val="20"/>
        </w:rPr>
      </w:r>
      <w:r>
        <w:rPr>
          <w:sz w:val="20"/>
        </w:rPr>
      </w:r>
    </w:p>
    <w:p>
      <w:pPr>
        <w:ind w:left="5811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СПРАВКА от__________ (указать дату составления справки) (Образец)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blPrEx/>
        <w:trPr>
          <w:trHeight w:val="32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п/п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Должность специалиста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Заработная плата в день, в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63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(указать должность)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81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(указать должность)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63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(указать должность)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18"/>
          <w:szCs w:val="18"/>
        </w:rPr>
      </w:pPr>
      <w:r>
        <w:rPr>
          <w:sz w:val="22"/>
          <w:szCs w:val="22"/>
        </w:rPr>
        <w:t xml:space="preserve">Накладные расходы _______(%)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rPr>
          <w:sz w:val="18"/>
          <w:szCs w:val="18"/>
        </w:rPr>
      </w:pPr>
      <w:r>
        <w:rPr>
          <w:sz w:val="22"/>
          <w:szCs w:val="22"/>
        </w:rPr>
        <w:t xml:space="preserve">Рентабельность предприятия_________(%)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rPr>
          <w:b/>
          <w:sz w:val="18"/>
          <w:szCs w:val="18"/>
        </w:rPr>
      </w:pPr>
      <w:r>
        <w:rPr>
          <w:b/>
          <w:sz w:val="22"/>
          <w:szCs w:val="22"/>
        </w:rPr>
        <w:t xml:space="preserve">Дата</w:t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p>
      <w:pPr>
        <w:rPr>
          <w:b/>
          <w:sz w:val="18"/>
          <w:szCs w:val="18"/>
        </w:rPr>
      </w:pPr>
      <w:r>
        <w:rPr>
          <w:b/>
          <w:sz w:val="18"/>
          <w:szCs w:val="18"/>
        </w:rPr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p>
      <w:pPr>
        <w:jc w:val="both"/>
        <w:rPr>
          <w:sz w:val="18"/>
          <w:szCs w:val="18"/>
        </w:rPr>
      </w:pPr>
      <w:r>
        <w:rPr>
          <w:sz w:val="22"/>
          <w:szCs w:val="22"/>
        </w:rPr>
        <w:t xml:space="preserve">(Должность единоличного исполнительного органа контрагента/подрядчика)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jc w:val="both"/>
        <w:rPr>
          <w:sz w:val="18"/>
          <w:szCs w:val="18"/>
        </w:rPr>
      </w:pPr>
      <w:r>
        <w:rPr>
          <w:sz w:val="22"/>
          <w:szCs w:val="22"/>
        </w:rPr>
        <w:t xml:space="preserve">(краткое/полное наименование организации) ________________ (ФИО)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jc w:val="both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jc w:val="both"/>
        <w:rPr>
          <w:sz w:val="18"/>
          <w:szCs w:val="18"/>
        </w:rPr>
      </w:pPr>
      <w:r>
        <w:rPr>
          <w:sz w:val="22"/>
          <w:szCs w:val="22"/>
        </w:rPr>
        <w:t xml:space="preserve">м.п.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jc w:val="both"/>
        <w:rPr>
          <w:sz w:val="18"/>
          <w:szCs w:val="18"/>
        </w:rPr>
      </w:pPr>
      <w:r>
        <w:rPr>
          <w:sz w:val="22"/>
          <w:szCs w:val="22"/>
        </w:rPr>
        <w:t xml:space="preserve">(Главный бухгалтер)</w:t>
      </w:r>
      <w:r>
        <w:rPr>
          <w:sz w:val="22"/>
          <w:szCs w:val="22"/>
          <w:vertAlign w:val="superscript"/>
        </w:rPr>
        <w:footnoteReference w:id="2"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jc w:val="both"/>
        <w:rPr>
          <w:sz w:val="18"/>
          <w:szCs w:val="18"/>
        </w:rPr>
      </w:pPr>
      <w:r>
        <w:rPr>
          <w:sz w:val="22"/>
          <w:szCs w:val="22"/>
        </w:rPr>
        <w:t xml:space="preserve">(краткое/полное наименование организации контрагента/подрядчика) _________ (ФИО)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jc w:val="both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jc w:val="both"/>
        <w:rPr>
          <w:sz w:val="18"/>
          <w:szCs w:val="18"/>
        </w:rPr>
      </w:pPr>
      <w:r>
        <w:rPr>
          <w:sz w:val="22"/>
          <w:szCs w:val="22"/>
        </w:rPr>
        <w:t xml:space="preserve">м.п.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200"/>
        <w:ind w:firstLine="0"/>
        <w:jc w:val="both"/>
        <w:widowControl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</w:r>
      <w:r>
        <w:rPr>
          <w:rFonts w:ascii="Times New Roman" w:hAnsi="Times New Roman" w:cs="Times New Roman"/>
          <w:sz w:val="14"/>
          <w:szCs w:val="14"/>
        </w:rPr>
      </w:r>
      <w:r>
        <w:rPr>
          <w:rFonts w:ascii="Times New Roman" w:hAnsi="Times New Roman" w:cs="Times New Roman"/>
          <w:sz w:val="14"/>
          <w:szCs w:val="14"/>
        </w:rPr>
      </w:r>
    </w:p>
    <w:p>
      <w:pPr>
        <w:ind w:left="5811"/>
        <w:jc w:val="right"/>
        <w:rPr>
          <w:sz w:val="20"/>
          <w:szCs w:val="20"/>
        </w:rPr>
      </w:pPr>
      <w:r>
        <w:br w:type="page" w:clear="all"/>
      </w:r>
      <w:r>
        <w:rPr>
          <w:sz w:val="20"/>
          <w:szCs w:val="20"/>
        </w:rPr>
        <w:t xml:space="preserve">Приложение №1.2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пояснительной записке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по заполнению формы 3П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rPr>
          <w:b/>
          <w:sz w:val="18"/>
          <w:szCs w:val="18"/>
        </w:rPr>
      </w:pPr>
      <w:r>
        <w:rPr>
          <w:b/>
          <w:sz w:val="22"/>
          <w:szCs w:val="22"/>
        </w:rPr>
        <w:t xml:space="preserve">Образец расчета командировочных расходов </w:t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p>
      <w:pPr>
        <w:ind w:hanging="567"/>
        <w:jc w:val="right"/>
      </w:pPr>
      <w:r/>
      <w:r/>
    </w:p>
    <w:p>
      <w:pPr>
        <w:ind w:hanging="567"/>
        <w:jc w:val="right"/>
        <w:rPr>
          <w:sz w:val="18"/>
          <w:szCs w:val="18"/>
        </w:rPr>
      </w:pPr>
      <w:r>
        <w:rPr>
          <w:sz w:val="22"/>
          <w:szCs w:val="22"/>
        </w:rPr>
        <w:t xml:space="preserve">Приложение № __ к смете № __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hanging="567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hanging="567"/>
        <w:jc w:val="center"/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Расчет командировочных расходов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tbl>
      <w:tblPr>
        <w:tblW w:w="10381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42"/>
        <w:gridCol w:w="992"/>
        <w:gridCol w:w="709"/>
        <w:gridCol w:w="1276"/>
        <w:gridCol w:w="708"/>
        <w:gridCol w:w="1443"/>
        <w:gridCol w:w="1308"/>
        <w:gridCol w:w="935"/>
        <w:gridCol w:w="1134"/>
        <w:gridCol w:w="1279"/>
      </w:tblGrid>
      <w:tr>
        <w:tblPrEx/>
        <w:trPr/>
        <w:tc>
          <w:tcPr>
            <w:gridSpan w:val="2"/>
            <w:shd w:val="clear" w:color="ffffff" w:fill="ffffff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№ п</w:t>
            </w:r>
            <w:r>
              <w:rPr>
                <w:lang w:val="en-US"/>
              </w:rPr>
              <w:t xml:space="preserve">/</w:t>
            </w:r>
            <w:r>
              <w:t xml:space="preserve">п</w:t>
            </w:r>
            <w:r/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Пункт назначения </w:t>
            </w:r>
            <w:r>
              <w:rPr>
                <w:sz w:val="20"/>
                <w:szCs w:val="20"/>
              </w:rPr>
              <w:br/>
              <w:t xml:space="preserve">(туда / обратно)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транспорта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проезда, руб. (без НДС)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дней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суточных, руб./сут. </w:t>
            </w:r>
            <w:r>
              <w:rPr>
                <w:sz w:val="20"/>
                <w:szCs w:val="20"/>
              </w:rPr>
              <w:br/>
              <w:t xml:space="preserve">(без НДС)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проживания, руб./сут.. </w:t>
            </w:r>
            <w:r>
              <w:rPr>
                <w:sz w:val="20"/>
                <w:szCs w:val="20"/>
              </w:rPr>
              <w:br/>
              <w:t xml:space="preserve">(без НДС)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командировок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командированных человек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командировочных расходов, руб. </w:t>
            </w:r>
            <w:r>
              <w:rPr>
                <w:sz w:val="20"/>
                <w:szCs w:val="20"/>
              </w:rPr>
              <w:br/>
              <w:t xml:space="preserve">(без НДС)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0"/>
            <w:shd w:val="clear" w:color="ffffff" w:fill="ffffff"/>
            <w:tcW w:w="9926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1 в пункт 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ffffff" w:fill="ffffff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1 в пункт 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70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4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30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93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ffffff" w:fill="ffffff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2 в пункт 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70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4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30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93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ffffff" w:fill="ffffff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…</w:t>
            </w:r>
            <w:r/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ffffff" w:fill="ffffff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</w:t>
            </w:r>
            <w:r/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4 в пункт 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70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4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30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93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ffffff" w:fill="ffffff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командировочных расходов из пункта 1 в пункт 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17"/>
        </w:trPr>
        <w:tc>
          <w:tcPr>
            <w:tcW w:w="455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0"/>
            <w:shd w:val="clear" w:color="ffffff" w:fill="ffffff"/>
            <w:tcW w:w="9926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5 в пункт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ffffff" w:fill="ffffff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5 в пункт 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70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4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30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93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ffffff" w:fill="ffffff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7</w:t>
            </w:r>
            <w:r/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4 в пункт 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70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4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30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93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ffffff" w:fill="ffffff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…</w:t>
            </w:r>
            <w:r/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935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ffffff" w:fill="ffffff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9</w:t>
            </w:r>
            <w:r/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2 в пункт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935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ffffff" w:fill="ffffff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командировочных расходов из пункта 5 в пункт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ffffff" w:fill="ffffff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стоимость командировочных расходов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127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left="6373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3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3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>
        <w:br w:type="page" w:clear="all"/>
      </w:r>
      <w:r/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 № 2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jc w:val="right"/>
        <w:rPr>
          <w:sz w:val="20"/>
        </w:rPr>
      </w:pPr>
      <w:r>
        <w:rPr>
          <w:sz w:val="20"/>
        </w:rPr>
        <w:t xml:space="preserve">к Требованиям к оформлению и </w:t>
      </w:r>
      <w:r>
        <w:rPr>
          <w:sz w:val="20"/>
        </w:rPr>
      </w:r>
      <w:r>
        <w:rPr>
          <w:sz w:val="20"/>
        </w:rPr>
      </w:r>
    </w:p>
    <w:p>
      <w:pPr>
        <w:jc w:val="right"/>
        <w:rPr>
          <w:sz w:val="20"/>
        </w:rPr>
      </w:pPr>
      <w:r>
        <w:rPr>
          <w:sz w:val="20"/>
        </w:rPr>
        <w:t xml:space="preserve">составлению документации </w:t>
      </w:r>
      <w:r>
        <w:rPr>
          <w:sz w:val="20"/>
        </w:rPr>
      </w:r>
      <w:r>
        <w:rPr>
          <w:sz w:val="20"/>
        </w:rPr>
      </w:r>
    </w:p>
    <w:p>
      <w:pPr>
        <w:jc w:val="right"/>
        <w:rPr>
          <w:sz w:val="20"/>
        </w:rPr>
      </w:pPr>
      <w:r>
        <w:rPr>
          <w:sz w:val="20"/>
        </w:rPr>
        <w:t xml:space="preserve">на оказание услуг </w:t>
      </w:r>
      <w:r>
        <w:rPr>
          <w:sz w:val="20"/>
        </w:rPr>
      </w:r>
      <w:r>
        <w:rPr>
          <w:sz w:val="20"/>
        </w:rPr>
      </w:r>
    </w:p>
    <w:p>
      <w:pPr>
        <w:jc w:val="right"/>
        <w:rPr>
          <w:sz w:val="20"/>
        </w:rPr>
      </w:pPr>
      <w:r>
        <w:rPr>
          <w:sz w:val="20"/>
        </w:rPr>
        <w:t xml:space="preserve">по шеф-монтажным и пусконаладочным работам</w:t>
      </w:r>
      <w:r>
        <w:rPr>
          <w:sz w:val="20"/>
        </w:rPr>
      </w:r>
      <w:r>
        <w:rPr>
          <w:sz w:val="20"/>
        </w:rPr>
      </w:r>
    </w:p>
    <w:p>
      <w:pPr>
        <w:ind w:left="142" w:hanging="142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142" w:hanging="142"/>
        <w:shd w:val="clear" w:color="auto" w:fill="ffffff"/>
        <w:rPr>
          <w:b/>
          <w:bCs/>
          <w:sz w:val="20"/>
          <w:szCs w:val="20"/>
        </w:rPr>
      </w:pPr>
      <w:r>
        <w:rPr>
          <w:b/>
          <w:sz w:val="22"/>
          <w:szCs w:val="22"/>
        </w:rPr>
        <w:t xml:space="preserve">Образец № 3п</w: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1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348" w:type="dxa"/>
            <w:textDirection w:val="lrTb"/>
            <w:noWrap w:val="false"/>
          </w:tcPr>
          <w:p>
            <w:pPr>
              <w:ind w:left="6523" w:hanging="284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Приложение №_____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left="6239" w:right="-284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к договору от ______№_______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left="6239" w:right="-284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(дополнительному соглашению)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>
              <w:tblPrEx/>
              <w:trPr>
                <w:trHeight w:val="446"/>
              </w:trPr>
              <w:tc>
                <w:tcPr>
                  <w:tcW w:w="4430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  <w:p>
                  <w:r>
                    <w:rPr>
                      <w:b/>
                      <w:bCs/>
                      <w:sz w:val="22"/>
                      <w:szCs w:val="22"/>
                    </w:rPr>
                    <w:t xml:space="preserve">СОГЛАСОВАНО:</w:t>
                  </w:r>
                  <w:r/>
                </w:p>
                <w:p>
                  <w:r>
                    <w:rPr>
                      <w:sz w:val="22"/>
                      <w:szCs w:val="22"/>
                    </w:rPr>
                    <w:t xml:space="preserve">________________(Подрядчик)</w:t>
                  </w:r>
                  <w:r/>
                </w:p>
                <w:p>
                  <w:r>
                    <w:rPr>
                      <w:sz w:val="22"/>
                      <w:szCs w:val="22"/>
                    </w:rPr>
                    <w:t xml:space="preserve">________________ Ф.И.О</w:t>
                  </w:r>
                  <w:r/>
                </w:p>
                <w:p>
                  <w:r/>
                  <w:r/>
                </w:p>
              </w:tc>
              <w:tc>
                <w:tcPr>
                  <w:tcW w:w="5134" w:type="dxa"/>
                  <w:textDirection w:val="lrTb"/>
                  <w:noWrap w:val="false"/>
                </w:tcPr>
                <w:p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  <w:p>
                  <w:pPr>
                    <w:ind w:left="1886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УТВЕРЖДАЮ:</w:t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  <w:p>
                  <w:pPr>
                    <w:ind w:left="1886"/>
                    <w:rPr>
                      <w:bCs/>
                    </w:rPr>
                  </w:pPr>
                  <w:r>
                    <w:rPr>
                      <w:bCs/>
                      <w:sz w:val="22"/>
                      <w:szCs w:val="22"/>
                    </w:rPr>
                    <w:t xml:space="preserve">_________________(Заказчик)</w:t>
                  </w:r>
                  <w:r>
                    <w:rPr>
                      <w:bCs/>
                    </w:rPr>
                  </w:r>
                  <w:r>
                    <w:rPr>
                      <w:bCs/>
                    </w:rPr>
                  </w:r>
                </w:p>
                <w:p>
                  <w:pPr>
                    <w:ind w:left="1886"/>
                  </w:pPr>
                  <w:r>
                    <w:rPr>
                      <w:sz w:val="22"/>
                      <w:szCs w:val="22"/>
                    </w:rPr>
                    <w:t xml:space="preserve">_________________Ф.И.О.</w:t>
                  </w:r>
                  <w:r/>
                </w:p>
                <w:p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</w:tc>
            </w:tr>
          </w:tbl>
          <w:p>
            <w:pPr>
              <w:jc w:val="center"/>
              <w:shd w:val="clear" w:color="auto" w:fill="ffffff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24"/>
                <w:szCs w:val="24"/>
              </w:rPr>
              <w:t xml:space="preserve">Смета № </w:t>
            </w:r>
            <w:r>
              <w:rPr>
                <w:b/>
                <w:bCs/>
                <w:sz w:val="24"/>
                <w:szCs w:val="24"/>
              </w:rPr>
              <w:br/>
              <w:t xml:space="preserve">на шеф - монтажные работы</w:t>
            </w:r>
            <w:r>
              <w:rPr>
                <w:b/>
                <w:bCs/>
                <w:sz w:val="36"/>
                <w:szCs w:val="36"/>
              </w:rPr>
            </w:r>
            <w:r>
              <w:rPr>
                <w:b/>
                <w:bCs/>
                <w:sz w:val="36"/>
                <w:szCs w:val="36"/>
              </w:rPr>
            </w:r>
          </w:p>
          <w:p>
            <w:pPr>
              <w:shd w:val="clear" w:color="auto" w:fill="ffffff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</w:r>
            <w:r>
              <w:rPr>
                <w:sz w:val="36"/>
                <w:szCs w:val="36"/>
              </w:rPr>
            </w:r>
            <w:r>
              <w:rPr>
                <w:sz w:val="36"/>
                <w:szCs w:val="36"/>
              </w:rPr>
            </w:r>
          </w:p>
          <w:p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Наименование предприятия, здания, сооружения, вида шеф-монтажных работ_____________________________________________________________</w:t>
            </w:r>
            <w:r/>
          </w:p>
          <w:p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__________________________________________________________________</w:t>
            </w:r>
            <w:r/>
          </w:p>
          <w:p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Наименование монтажной организации ________________________________</w:t>
            </w:r>
            <w:r/>
          </w:p>
          <w:p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Наименование организации заказчика _________________________________</w:t>
            </w:r>
            <w:r/>
          </w:p>
          <w:p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Составлена в текущих ценах, соответствующих периоду выполнения работ по договору</w:t>
            </w:r>
            <w:r/>
          </w:p>
          <w:p>
            <w:pPr>
              <w:shd w:val="clear" w:color="auto" w:fill="ffffff"/>
            </w:pPr>
            <w:r/>
            <w:r/>
          </w:p>
          <w:p>
            <w:pPr>
              <w:shd w:val="clear" w:color="auto" w:fill="ffffff"/>
            </w:pPr>
            <w:r>
              <w:rPr>
                <w:b/>
                <w:sz w:val="22"/>
                <w:szCs w:val="22"/>
              </w:rPr>
              <w:t xml:space="preserve">1. Расчет заработной платы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руб.</w:t>
            </w:r>
            <w:r/>
          </w:p>
          <w:tbl>
            <w:tblPr>
              <w:tblW w:w="9649" w:type="dxa"/>
              <w:jc w:val="center"/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single" w:color="000000" w:sz="2" w:space="0"/>
                <w:insideV w:val="single" w:color="000000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№ п</w:t>
                  </w:r>
                  <w:r>
                    <w:rPr>
                      <w:sz w:val="22"/>
                      <w:szCs w:val="22"/>
                      <w:lang w:val="en-US"/>
                    </w:rPr>
                    <w:t xml:space="preserve">/</w:t>
                  </w:r>
                  <w:r>
                    <w:rPr>
                      <w:sz w:val="22"/>
                      <w:szCs w:val="22"/>
                    </w:rPr>
                    <w:t xml:space="preserve">п.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Перечень выполняемых работ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8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Исполнители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Количество человеко-дней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Средняя оплата труда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 за 1 день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Оплата труда (всего)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298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145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количество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должность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735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734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901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1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2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3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4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5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6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7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/>
                </w:p>
              </w:tc>
            </w:tr>
          </w:tbl>
          <w:p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Итого заработной платы, в руб. __________________________________________________________</w:t>
            </w:r>
            <w:r/>
          </w:p>
          <w:p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2. Расчет стоимости выполнения работ</w:t>
            </w:r>
            <w:r/>
          </w:p>
          <w:p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2.1 Накладные расходы, %_______________________________________________________________</w:t>
            </w:r>
            <w:r/>
          </w:p>
          <w:p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2.2 Себестоимость работ ________________________________________________________________</w:t>
            </w:r>
            <w:r/>
          </w:p>
          <w:p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2.3 Уровень рентабельности, % __________________________________________________________</w:t>
            </w:r>
            <w:r/>
          </w:p>
          <w:p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 xml:space="preserve">Итого </w:t>
            </w:r>
            <w:r>
              <w:rPr>
                <w:sz w:val="22"/>
                <w:szCs w:val="22"/>
              </w:rPr>
              <w:t xml:space="preserve">________________________________________________________________________________</w:t>
            </w:r>
            <w:r/>
          </w:p>
          <w:p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3. Командировочные расходы (по расчету)______________________________________________</w:t>
            </w:r>
            <w:r/>
          </w:p>
          <w:p>
            <w:pPr>
              <w:shd w:val="clear" w:color="auto" w:fill="ffffff"/>
            </w:pPr>
            <w:r>
              <w:rPr>
                <w:b/>
                <w:sz w:val="22"/>
                <w:szCs w:val="22"/>
              </w:rPr>
              <w:t xml:space="preserve">Всего (руб.)</w:t>
            </w:r>
            <w:r>
              <w:rPr>
                <w:sz w:val="22"/>
                <w:szCs w:val="22"/>
              </w:rPr>
              <w:t xml:space="preserve"> __________________________________________________________________________</w:t>
            </w:r>
            <w:r/>
          </w:p>
          <w:p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_____________________________________________________________________________________</w:t>
            </w:r>
            <w:r/>
          </w:p>
          <w:p>
            <w:pPr>
              <w:ind w:firstLine="2070"/>
              <w:jc w:val="center"/>
              <w:shd w:val="clear" w:color="auto" w:fill="ffffff"/>
            </w:pPr>
            <w:r>
              <w:rPr>
                <w:sz w:val="22"/>
                <w:szCs w:val="22"/>
              </w:rPr>
              <w:t xml:space="preserve">(сумма прописью)</w:t>
            </w:r>
            <w:r/>
          </w:p>
          <w:p>
            <w:pPr>
              <w:shd w:val="clear" w:color="auto" w:fill="ffffff"/>
            </w:pPr>
            <w:r/>
            <w:r/>
          </w:p>
          <w:p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Составил:________/должность,организация/_______/подпись/___________/расшифровка подписи/</w:t>
            </w:r>
            <w:r/>
          </w:p>
          <w:p>
            <w:pPr>
              <w:shd w:val="clear" w:color="auto" w:fill="ffffff"/>
            </w:pPr>
            <w:r/>
            <w:r/>
          </w:p>
          <w:p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Проверил:_________/должность, организация/_________/подпись/_________/расшифровка подписи/</w:t>
            </w:r>
            <w:r/>
          </w:p>
        </w:tc>
      </w:tr>
    </w:tbl>
    <w:p>
      <w:pPr>
        <w:ind w:left="6373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8"/>
      <w:headerReference w:type="first" r:id="rId19"/>
      <w:footnotePr>
        <w:numRestart w:val="eachPage"/>
      </w:footnotePr>
      <w:endnotePr/>
      <w:type w:val="nextPage"/>
      <w:pgSz w:w="11906" w:h="16838" w:orient="portrait"/>
      <w:pgMar w:top="1134" w:right="851" w:bottom="992" w:left="1134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Wingdings">
    <w:panose1 w:val="05010000000000000000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Batang">
    <w:panose1 w:val="0200060300000000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sz w:val="12"/>
        </w:rPr>
      </w:pPr>
      <w:r>
        <w:separator/>
      </w:r>
      <w:r>
        <w:rPr>
          <w:sz w:val="12"/>
        </w:rPr>
      </w:r>
      <w:r>
        <w:rPr>
          <w:sz w:val="12"/>
        </w:rPr>
      </w:r>
    </w:p>
  </w:footnote>
  <w:footnote w:type="continuationSeparator" w:id="0">
    <w:p>
      <w:pPr>
        <w:rPr>
          <w:sz w:val="12"/>
        </w:rPr>
      </w:pPr>
      <w:r>
        <w:continuationSeparator/>
      </w:r>
      <w:r>
        <w:rPr>
          <w:sz w:val="12"/>
        </w:rPr>
      </w:r>
      <w:r>
        <w:rPr>
          <w:sz w:val="12"/>
        </w:rPr>
      </w:r>
    </w:p>
  </w:footnote>
  <w:footnote w:id="2">
    <w:p>
      <w:pPr>
        <w:pStyle w:val="1157"/>
      </w:pPr>
      <w:r>
        <w:rPr>
          <w:rStyle w:val="1098"/>
        </w:rPr>
        <w:footnoteRef/>
      </w:r>
      <w:r>
        <w:t xml:space="preserve"> Если в организации функции главного бухгалтера выполняет генеральный директор–ставится только его виза.</w:t>
      </w:r>
      <w:r/>
    </w:p>
    <w:p>
      <w:pPr>
        <w:pStyle w:val="1157"/>
      </w:pPr>
      <w:r>
        <w:t xml:space="preserve">Возможно предоставление иной формы справки в соответствии с внутренним документооборотом организации.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3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5</w:t>
    </w:r>
    <w:r>
      <w:fldChar w:fldCharType="end"/>
    </w:r>
    <w:r/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3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67</w:t>
    </w:r>
    <w:r>
      <w:fldChar w:fldCharType="end"/>
    </w:r>
    <w:r/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3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  <a:miter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1163"/>
                            <w:rPr>
                              <w:rStyle w:val="1099"/>
                            </w:rPr>
                          </w:pPr>
                          <w:r>
                            <w:rPr>
                              <w:rStyle w:val="109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109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109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1099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1099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1099"/>
                            </w:rPr>
                          </w:r>
                          <w:r>
                            <w:rPr>
                              <w:rStyle w:val="1099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1163"/>
                      <w:rPr>
                        <w:rStyle w:val="1099"/>
                      </w:rPr>
                    </w:pPr>
                    <w:r>
                      <w:rPr>
                        <w:rStyle w:val="1099"/>
                        <w:color w:val="000000"/>
                      </w:rPr>
                      <w:fldChar w:fldCharType="begin"/>
                    </w:r>
                    <w:r>
                      <w:rPr>
                        <w:rStyle w:val="1099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1099"/>
                        <w:color w:val="000000"/>
                      </w:rPr>
                      <w:fldChar w:fldCharType="separate"/>
                    </w:r>
                    <w:r>
                      <w:rPr>
                        <w:rStyle w:val="1099"/>
                        <w:color w:val="000000"/>
                      </w:rPr>
                      <w:t xml:space="preserve">0</w:t>
                    </w:r>
                    <w:r>
                      <w:rPr>
                        <w:rStyle w:val="1099"/>
                        <w:color w:val="000000"/>
                      </w:rPr>
                      <w:fldChar w:fldCharType="end"/>
                    </w:r>
                    <w:r>
                      <w:rPr>
                        <w:rStyle w:val="1099"/>
                      </w:rPr>
                    </w:r>
                    <w:r>
                      <w:rPr>
                        <w:rStyle w:val="1099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3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3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50</w:t>
    </w:r>
    <w:r>
      <w:fldChar w:fldCharType="end"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3"/>
      <w:jc w:val="center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3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59</w:t>
    </w:r>
    <w:r>
      <w:fldChar w:fldCharType="end"/>
    </w:r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3"/>
      <w:jc w:val="center"/>
    </w:pPr>
    <w:r/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3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64</w:t>
    </w:r>
    <w:r>
      <w:fldChar w:fldCharType="end"/>
    </w:r>
    <w:r/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pStyle w:val="1214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strike w:val="0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4"/>
      <w:numFmt w:val="bullet"/>
      <w:pStyle w:val="1197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1198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1196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55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1156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1207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1208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1211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1209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1210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18">
    <w:multiLevelType w:val="hybridMultilevel"/>
    <w:lvl w:ilvl="0">
      <w:start w:val="1"/>
      <w:numFmt w:val="decimal"/>
      <w:pStyle w:val="935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937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strike w:val="0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strike w:val="0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strike w:val="0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strike w:val="0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16"/>
  </w:num>
  <w:num w:numId="2">
    <w:abstractNumId w:val="14"/>
  </w:num>
  <w:num w:numId="3">
    <w:abstractNumId w:val="18"/>
  </w:num>
  <w:num w:numId="4">
    <w:abstractNumId w:val="17"/>
  </w:num>
  <w:num w:numId="5">
    <w:abstractNumId w:val="11"/>
  </w:num>
  <w:num w:numId="6">
    <w:abstractNumId w:val="4"/>
  </w:num>
  <w:num w:numId="7">
    <w:abstractNumId w:val="29"/>
  </w:num>
  <w:num w:numId="8">
    <w:abstractNumId w:val="20"/>
  </w:num>
  <w:num w:numId="9">
    <w:abstractNumId w:val="26"/>
  </w:num>
  <w:num w:numId="10">
    <w:abstractNumId w:val="3"/>
  </w:num>
  <w:num w:numId="11">
    <w:abstractNumId w:val="21"/>
  </w:num>
  <w:num w:numId="12">
    <w:abstractNumId w:val="19"/>
  </w:num>
  <w:num w:numId="13">
    <w:abstractNumId w:val="6"/>
  </w:num>
  <w:num w:numId="14">
    <w:abstractNumId w:val="28"/>
  </w:num>
  <w:num w:numId="15">
    <w:abstractNumId w:val="8"/>
  </w:num>
  <w:num w:numId="16">
    <w:abstractNumId w:val="2"/>
  </w:num>
  <w:num w:numId="17">
    <w:abstractNumId w:val="5"/>
  </w:num>
  <w:num w:numId="18">
    <w:abstractNumId w:val="9"/>
  </w:num>
  <w:num w:numId="19">
    <w:abstractNumId w:val="15"/>
  </w:num>
  <w:num w:numId="20">
    <w:abstractNumId w:val="23"/>
  </w:num>
  <w:num w:numId="21">
    <w:abstractNumId w:val="24"/>
  </w:num>
  <w:num w:numId="22">
    <w:abstractNumId w:val="7"/>
  </w:num>
  <w:num w:numId="23">
    <w:abstractNumId w:val="25"/>
  </w:num>
  <w:num w:numId="24">
    <w:abstractNumId w:val="0"/>
  </w:num>
  <w:num w:numId="25">
    <w:abstractNumId w:val="30"/>
  </w:num>
  <w:num w:numId="26">
    <w:abstractNumId w:val="13"/>
  </w:num>
  <w:num w:numId="27">
    <w:abstractNumId w:val="22"/>
  </w:num>
  <w:num w:numId="28">
    <w:abstractNumId w:val="10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2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1"/>
  </w:num>
  <w:num w:numId="50">
    <w:abstractNumId w:val="32"/>
  </w:num>
  <w:num w:numId="51">
    <w:abstractNumId w:val="33"/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8"/>
  </w:num>
  <w:num w:numId="57">
    <w:abstractNumId w:val="39"/>
  </w:num>
  <w:num w:numId="58">
    <w:abstractNumId w:val="40"/>
  </w:num>
  <w:num w:numId="59">
    <w:abstractNumId w:val="41"/>
  </w:num>
  <w:num w:numId="60">
    <w:abstractNumId w:val="42"/>
  </w:num>
  <w:num w:numId="61">
    <w:abstractNumId w:val="43"/>
  </w:num>
  <w:num w:numId="62">
    <w:abstractNumId w:val="44"/>
  </w:num>
  <w:num w:numId="63">
    <w:abstractNumId w:val="45"/>
  </w:num>
  <w:num w:numId="64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eachPage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34" w:default="1">
    <w:name w:val="Normal"/>
    <w:qFormat/>
    <w:rPr>
      <w:sz w:val="28"/>
      <w:szCs w:val="28"/>
    </w:rPr>
  </w:style>
  <w:style w:type="paragraph" w:styleId="935">
    <w:name w:val="Heading 1"/>
    <w:basedOn w:val="937"/>
    <w:next w:val="934"/>
    <w:link w:val="1106"/>
    <w:qFormat/>
    <w:pPr>
      <w:numPr>
        <w:ilvl w:val="0"/>
      </w:numPr>
      <w:outlineLvl w:val="0"/>
    </w:pPr>
    <w:rPr>
      <w:sz w:val="28"/>
      <w:szCs w:val="28"/>
    </w:rPr>
  </w:style>
  <w:style w:type="paragraph" w:styleId="936">
    <w:name w:val="Heading 2"/>
    <w:basedOn w:val="938"/>
    <w:next w:val="934"/>
    <w:link w:val="1107"/>
    <w:qFormat/>
    <w:pPr>
      <w:outlineLvl w:val="1"/>
    </w:pPr>
  </w:style>
  <w:style w:type="paragraph" w:styleId="937">
    <w:name w:val="Heading 3"/>
    <w:basedOn w:val="934"/>
    <w:next w:val="934"/>
    <w:link w:val="1108"/>
    <w:qFormat/>
    <w:pPr>
      <w:numPr>
        <w:ilvl w:val="2"/>
        <w:numId w:val="3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38">
    <w:name w:val="Heading 4"/>
    <w:basedOn w:val="937"/>
    <w:next w:val="934"/>
    <w:link w:val="1109"/>
    <w:qFormat/>
    <w:pPr>
      <w:numPr>
        <w:ilvl w:val="0"/>
        <w:numId w:val="0"/>
      </w:numPr>
      <w:ind w:left="432" w:hanging="432"/>
      <w:tabs>
        <w:tab w:val="left" w:pos="0" w:leader="none"/>
      </w:tabs>
      <w:outlineLvl w:val="3"/>
    </w:pPr>
    <w:rPr>
      <w:bCs/>
    </w:rPr>
  </w:style>
  <w:style w:type="paragraph" w:styleId="939">
    <w:name w:val="Heading 5"/>
    <w:basedOn w:val="934"/>
    <w:next w:val="934"/>
    <w:link w:val="111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40">
    <w:name w:val="Heading 6"/>
    <w:basedOn w:val="934"/>
    <w:next w:val="934"/>
    <w:link w:val="1103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41">
    <w:name w:val="Heading 7"/>
    <w:basedOn w:val="934"/>
    <w:next w:val="934"/>
    <w:link w:val="1104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42">
    <w:name w:val="Heading 8"/>
    <w:basedOn w:val="934"/>
    <w:next w:val="934"/>
    <w:link w:val="1105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43">
    <w:name w:val="Heading 9"/>
    <w:basedOn w:val="934"/>
    <w:next w:val="934"/>
    <w:link w:val="1111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44" w:default="1">
    <w:name w:val="Default Paragraph Font"/>
    <w:uiPriority w:val="1"/>
    <w:semiHidden/>
    <w:unhideWhenUsed/>
  </w:style>
  <w:style w:type="table" w:styleId="9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6" w:default="1">
    <w:name w:val="No List"/>
    <w:uiPriority w:val="99"/>
    <w:semiHidden/>
    <w:unhideWhenUsed/>
  </w:style>
  <w:style w:type="character" w:styleId="947" w:customStyle="1">
    <w:name w:val="Title Char"/>
    <w:basedOn w:val="944"/>
    <w:uiPriority w:val="10"/>
    <w:rPr>
      <w:sz w:val="48"/>
      <w:szCs w:val="48"/>
    </w:rPr>
  </w:style>
  <w:style w:type="character" w:styleId="948" w:customStyle="1">
    <w:name w:val="Subtitle Char"/>
    <w:basedOn w:val="944"/>
    <w:uiPriority w:val="11"/>
    <w:rPr>
      <w:sz w:val="24"/>
      <w:szCs w:val="24"/>
    </w:rPr>
  </w:style>
  <w:style w:type="character" w:styleId="949" w:customStyle="1">
    <w:name w:val="Header Char"/>
    <w:basedOn w:val="944"/>
    <w:uiPriority w:val="99"/>
  </w:style>
  <w:style w:type="character" w:styleId="950" w:customStyle="1">
    <w:name w:val="Caption Char"/>
    <w:uiPriority w:val="99"/>
  </w:style>
  <w:style w:type="character" w:styleId="951" w:customStyle="1">
    <w:name w:val="Footnote Text Char"/>
    <w:uiPriority w:val="99"/>
    <w:rPr>
      <w:sz w:val="18"/>
    </w:rPr>
  </w:style>
  <w:style w:type="character" w:styleId="952" w:customStyle="1">
    <w:name w:val="Endnote Text Char"/>
    <w:uiPriority w:val="99"/>
    <w:rPr>
      <w:sz w:val="20"/>
    </w:rPr>
  </w:style>
  <w:style w:type="character" w:styleId="953" w:customStyle="1">
    <w:name w:val="Heading 1 Char"/>
    <w:basedOn w:val="944"/>
    <w:uiPriority w:val="9"/>
    <w:rPr>
      <w:rFonts w:ascii="Arial" w:hAnsi="Arial" w:eastAsia="Arial" w:cs="Arial"/>
      <w:sz w:val="40"/>
      <w:szCs w:val="40"/>
    </w:rPr>
  </w:style>
  <w:style w:type="character" w:styleId="954" w:customStyle="1">
    <w:name w:val="Heading 2 Char"/>
    <w:basedOn w:val="944"/>
    <w:uiPriority w:val="9"/>
    <w:rPr>
      <w:rFonts w:ascii="Arial" w:hAnsi="Arial" w:eastAsia="Arial" w:cs="Arial"/>
      <w:sz w:val="34"/>
    </w:rPr>
  </w:style>
  <w:style w:type="character" w:styleId="955" w:customStyle="1">
    <w:name w:val="Heading 3 Char"/>
    <w:basedOn w:val="944"/>
    <w:uiPriority w:val="9"/>
    <w:rPr>
      <w:rFonts w:ascii="Arial" w:hAnsi="Arial" w:eastAsia="Arial" w:cs="Arial"/>
      <w:sz w:val="30"/>
      <w:szCs w:val="30"/>
    </w:rPr>
  </w:style>
  <w:style w:type="character" w:styleId="956" w:customStyle="1">
    <w:name w:val="Heading 4 Char"/>
    <w:basedOn w:val="944"/>
    <w:uiPriority w:val="9"/>
    <w:rPr>
      <w:rFonts w:ascii="Arial" w:hAnsi="Arial" w:eastAsia="Arial" w:cs="Arial"/>
      <w:b/>
      <w:bCs/>
      <w:sz w:val="26"/>
      <w:szCs w:val="26"/>
    </w:rPr>
  </w:style>
  <w:style w:type="character" w:styleId="957" w:customStyle="1">
    <w:name w:val="Heading 5 Char"/>
    <w:basedOn w:val="944"/>
    <w:uiPriority w:val="9"/>
    <w:rPr>
      <w:rFonts w:ascii="Arial" w:hAnsi="Arial" w:eastAsia="Arial" w:cs="Arial"/>
      <w:b/>
      <w:bCs/>
      <w:sz w:val="24"/>
      <w:szCs w:val="24"/>
    </w:rPr>
  </w:style>
  <w:style w:type="character" w:styleId="958" w:customStyle="1">
    <w:name w:val="Heading 6 Char"/>
    <w:basedOn w:val="944"/>
    <w:uiPriority w:val="9"/>
    <w:rPr>
      <w:rFonts w:ascii="Arial" w:hAnsi="Arial" w:eastAsia="Arial" w:cs="Arial"/>
      <w:b/>
      <w:bCs/>
      <w:sz w:val="22"/>
      <w:szCs w:val="22"/>
    </w:rPr>
  </w:style>
  <w:style w:type="character" w:styleId="959" w:customStyle="1">
    <w:name w:val="Heading 7 Char"/>
    <w:basedOn w:val="9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60" w:customStyle="1">
    <w:name w:val="Heading 8 Char"/>
    <w:basedOn w:val="944"/>
    <w:uiPriority w:val="9"/>
    <w:rPr>
      <w:rFonts w:ascii="Arial" w:hAnsi="Arial" w:eastAsia="Arial" w:cs="Arial"/>
      <w:i/>
      <w:iCs/>
      <w:sz w:val="22"/>
      <w:szCs w:val="22"/>
    </w:rPr>
  </w:style>
  <w:style w:type="character" w:styleId="961" w:customStyle="1">
    <w:name w:val="Heading 9 Char"/>
    <w:basedOn w:val="944"/>
    <w:uiPriority w:val="9"/>
    <w:rPr>
      <w:rFonts w:ascii="Arial" w:hAnsi="Arial" w:eastAsia="Arial" w:cs="Arial"/>
      <w:i/>
      <w:iCs/>
      <w:sz w:val="21"/>
      <w:szCs w:val="21"/>
    </w:rPr>
  </w:style>
  <w:style w:type="character" w:styleId="962" w:customStyle="1">
    <w:name w:val="Заголовок Знак"/>
    <w:basedOn w:val="944"/>
    <w:link w:val="1145"/>
    <w:uiPriority w:val="10"/>
    <w:rPr>
      <w:sz w:val="48"/>
      <w:szCs w:val="48"/>
    </w:rPr>
  </w:style>
  <w:style w:type="character" w:styleId="963" w:customStyle="1">
    <w:name w:val="Подзаголовок Знак1"/>
    <w:basedOn w:val="944"/>
    <w:link w:val="1189"/>
    <w:uiPriority w:val="11"/>
    <w:rPr>
      <w:sz w:val="24"/>
      <w:szCs w:val="24"/>
    </w:rPr>
  </w:style>
  <w:style w:type="character" w:styleId="964" w:customStyle="1">
    <w:name w:val="Quote Char"/>
    <w:uiPriority w:val="29"/>
    <w:rPr>
      <w:i/>
    </w:rPr>
  </w:style>
  <w:style w:type="character" w:styleId="965" w:customStyle="1">
    <w:name w:val="Intense Quote Char"/>
    <w:uiPriority w:val="30"/>
    <w:rPr>
      <w:i/>
    </w:rPr>
  </w:style>
  <w:style w:type="character" w:styleId="966" w:customStyle="1">
    <w:name w:val="Верхний колонтитул Знак1"/>
    <w:basedOn w:val="944"/>
    <w:link w:val="1163"/>
    <w:uiPriority w:val="99"/>
  </w:style>
  <w:style w:type="character" w:styleId="967" w:customStyle="1">
    <w:name w:val="Footer Char"/>
    <w:basedOn w:val="944"/>
    <w:uiPriority w:val="99"/>
  </w:style>
  <w:style w:type="character" w:styleId="968" w:customStyle="1">
    <w:name w:val="Нижний колонтитул Знак"/>
    <w:link w:val="1165"/>
    <w:uiPriority w:val="99"/>
  </w:style>
  <w:style w:type="table" w:styleId="969" w:customStyle="1">
    <w:name w:val="Table Grid Light"/>
    <w:basedOn w:val="94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70">
    <w:name w:val="Plain Table 1"/>
    <w:basedOn w:val="94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1">
    <w:name w:val="Plain Table 2"/>
    <w:basedOn w:val="94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2">
    <w:name w:val="Plain Table 3"/>
    <w:basedOn w:val="94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73">
    <w:name w:val="Plain Table 4"/>
    <w:basedOn w:val="94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Plain Table 5"/>
    <w:basedOn w:val="94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75">
    <w:name w:val="Grid Table 1 Light"/>
    <w:basedOn w:val="94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 w:customStyle="1">
    <w:name w:val="Grid Table 1 Light - Accent 1"/>
    <w:basedOn w:val="94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 w:customStyle="1">
    <w:name w:val="Grid Table 1 Light - Accent 2"/>
    <w:basedOn w:val="94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 w:customStyle="1">
    <w:name w:val="Grid Table 1 Light - Accent 3"/>
    <w:basedOn w:val="94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 w:customStyle="1">
    <w:name w:val="Grid Table 1 Light - Accent 4"/>
    <w:basedOn w:val="94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 w:customStyle="1">
    <w:name w:val="Grid Table 1 Light - Accent 5"/>
    <w:basedOn w:val="94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 w:customStyle="1">
    <w:name w:val="Grid Table 1 Light - Accent 6"/>
    <w:basedOn w:val="94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Grid Table 2"/>
    <w:basedOn w:val="94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Grid Table 2 - Accent 1"/>
    <w:basedOn w:val="94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 w:customStyle="1">
    <w:name w:val="Grid Table 2 - Accent 2"/>
    <w:basedOn w:val="94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 w:customStyle="1">
    <w:name w:val="Grid Table 2 - Accent 3"/>
    <w:basedOn w:val="94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 w:customStyle="1">
    <w:name w:val="Grid Table 2 - Accent 4"/>
    <w:basedOn w:val="94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 w:customStyle="1">
    <w:name w:val="Grid Table 2 - Accent 5"/>
    <w:basedOn w:val="94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 w:customStyle="1">
    <w:name w:val="Grid Table 2 - Accent 6"/>
    <w:basedOn w:val="94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3"/>
    <w:basedOn w:val="94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 w:customStyle="1">
    <w:name w:val="Grid Table 3 - Accent 1"/>
    <w:basedOn w:val="94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 w:customStyle="1">
    <w:name w:val="Grid Table 3 - Accent 2"/>
    <w:basedOn w:val="94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 w:customStyle="1">
    <w:name w:val="Grid Table 3 - Accent 3"/>
    <w:basedOn w:val="94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 w:customStyle="1">
    <w:name w:val="Grid Table 3 - Accent 4"/>
    <w:basedOn w:val="94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 w:customStyle="1">
    <w:name w:val="Grid Table 3 - Accent 5"/>
    <w:basedOn w:val="94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 w:customStyle="1">
    <w:name w:val="Grid Table 3 - Accent 6"/>
    <w:basedOn w:val="94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4"/>
    <w:basedOn w:val="94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97" w:customStyle="1">
    <w:name w:val="Grid Table 4 - Accent 1"/>
    <w:basedOn w:val="945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998" w:customStyle="1">
    <w:name w:val="Grid Table 4 - Accent 2"/>
    <w:basedOn w:val="945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99" w:customStyle="1">
    <w:name w:val="Grid Table 4 - Accent 3"/>
    <w:basedOn w:val="945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000" w:customStyle="1">
    <w:name w:val="Grid Table 4 - Accent 4"/>
    <w:basedOn w:val="945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001" w:customStyle="1">
    <w:name w:val="Grid Table 4 - Accent 5"/>
    <w:basedOn w:val="945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1002" w:customStyle="1">
    <w:name w:val="Grid Table 4 - Accent 6"/>
    <w:basedOn w:val="945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003">
    <w:name w:val="Grid Table 5 Dark"/>
    <w:basedOn w:val="94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04" w:customStyle="1">
    <w:name w:val="Grid Table 5 Dark- Accent 1"/>
    <w:basedOn w:val="94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1005" w:customStyle="1">
    <w:name w:val="Grid Table 5 Dark - Accent 2"/>
    <w:basedOn w:val="94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006" w:customStyle="1">
    <w:name w:val="Grid Table 5 Dark - Accent 3"/>
    <w:basedOn w:val="94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007" w:customStyle="1">
    <w:name w:val="Grid Table 5 Dark- Accent 4"/>
    <w:basedOn w:val="94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008" w:customStyle="1">
    <w:name w:val="Grid Table 5 Dark - Accent 5"/>
    <w:basedOn w:val="94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1009" w:customStyle="1">
    <w:name w:val="Grid Table 5 Dark - Accent 6"/>
    <w:basedOn w:val="94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010">
    <w:name w:val="Grid Table 6 Colorful"/>
    <w:basedOn w:val="94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11" w:customStyle="1">
    <w:name w:val="Grid Table 6 Colorful - Accent 1"/>
    <w:basedOn w:val="945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1012" w:customStyle="1">
    <w:name w:val="Grid Table 6 Colorful - Accent 2"/>
    <w:basedOn w:val="94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013" w:customStyle="1">
    <w:name w:val="Grid Table 6 Colorful - Accent 3"/>
    <w:basedOn w:val="945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014" w:customStyle="1">
    <w:name w:val="Grid Table 6 Colorful - Accent 4"/>
    <w:basedOn w:val="94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015" w:customStyle="1">
    <w:name w:val="Grid Table 6 Colorful - Accent 5"/>
    <w:basedOn w:val="945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1016" w:customStyle="1">
    <w:name w:val="Grid Table 6 Colorful - Accent 6"/>
    <w:basedOn w:val="94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1017">
    <w:name w:val="Grid Table 7 Colorful"/>
    <w:basedOn w:val="94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 w:customStyle="1">
    <w:name w:val="Grid Table 7 Colorful - Accent 1"/>
    <w:basedOn w:val="945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 w:customStyle="1">
    <w:name w:val="Grid Table 7 Colorful - Accent 2"/>
    <w:basedOn w:val="945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 w:customStyle="1">
    <w:name w:val="Grid Table 7 Colorful - Accent 3"/>
    <w:basedOn w:val="945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 w:customStyle="1">
    <w:name w:val="Grid Table 7 Colorful - Accent 4"/>
    <w:basedOn w:val="945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 w:customStyle="1">
    <w:name w:val="Grid Table 7 Colorful - Accent 5"/>
    <w:basedOn w:val="945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 w:customStyle="1">
    <w:name w:val="Grid Table 7 Colorful - Accent 6"/>
    <w:basedOn w:val="945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List Table 1 Light"/>
    <w:basedOn w:val="945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 w:customStyle="1">
    <w:name w:val="List Table 1 Light - Accent 1"/>
    <w:basedOn w:val="945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 w:customStyle="1">
    <w:name w:val="List Table 1 Light - Accent 2"/>
    <w:basedOn w:val="945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 w:customStyle="1">
    <w:name w:val="List Table 1 Light - Accent 3"/>
    <w:basedOn w:val="945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 w:customStyle="1">
    <w:name w:val="List Table 1 Light - Accent 4"/>
    <w:basedOn w:val="945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 w:customStyle="1">
    <w:name w:val="List Table 1 Light - Accent 5"/>
    <w:basedOn w:val="945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 w:customStyle="1">
    <w:name w:val="List Table 1 Light - Accent 6"/>
    <w:basedOn w:val="945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List Table 2"/>
    <w:basedOn w:val="94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32" w:customStyle="1">
    <w:name w:val="List Table 2 - Accent 1"/>
    <w:basedOn w:val="945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1033" w:customStyle="1">
    <w:name w:val="List Table 2 - Accent 2"/>
    <w:basedOn w:val="945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034" w:customStyle="1">
    <w:name w:val="List Table 2 - Accent 3"/>
    <w:basedOn w:val="945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035" w:customStyle="1">
    <w:name w:val="List Table 2 - Accent 4"/>
    <w:basedOn w:val="945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036" w:customStyle="1">
    <w:name w:val="List Table 2 - Accent 5"/>
    <w:basedOn w:val="945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1037" w:customStyle="1">
    <w:name w:val="List Table 2 - Accent 6"/>
    <w:basedOn w:val="945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038">
    <w:name w:val="List Table 3"/>
    <w:basedOn w:val="94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 w:customStyle="1">
    <w:name w:val="List Table 3 - Accent 1"/>
    <w:basedOn w:val="945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 w:customStyle="1">
    <w:name w:val="List Table 3 - Accent 2"/>
    <w:basedOn w:val="94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 w:customStyle="1">
    <w:name w:val="List Table 3 - Accent 3"/>
    <w:basedOn w:val="945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 w:customStyle="1">
    <w:name w:val="List Table 3 - Accent 4"/>
    <w:basedOn w:val="94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 w:customStyle="1">
    <w:name w:val="List Table 3 - Accent 5"/>
    <w:basedOn w:val="945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 w:customStyle="1">
    <w:name w:val="List Table 3 - Accent 6"/>
    <w:basedOn w:val="945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4"/>
    <w:basedOn w:val="94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 w:customStyle="1">
    <w:name w:val="List Table 4 - Accent 1"/>
    <w:basedOn w:val="945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 w:customStyle="1">
    <w:name w:val="List Table 4 - Accent 2"/>
    <w:basedOn w:val="945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 w:customStyle="1">
    <w:name w:val="List Table 4 - Accent 3"/>
    <w:basedOn w:val="945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 w:customStyle="1">
    <w:name w:val="List Table 4 - Accent 4"/>
    <w:basedOn w:val="945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 w:customStyle="1">
    <w:name w:val="List Table 4 - Accent 5"/>
    <w:basedOn w:val="945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 w:customStyle="1">
    <w:name w:val="List Table 4 - Accent 6"/>
    <w:basedOn w:val="945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>
    <w:name w:val="List Table 5 Dark"/>
    <w:basedOn w:val="94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53" w:customStyle="1">
    <w:name w:val="List Table 5 Dark - Accent 1"/>
    <w:basedOn w:val="945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54" w:customStyle="1">
    <w:name w:val="List Table 5 Dark - Accent 2"/>
    <w:basedOn w:val="945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55" w:customStyle="1">
    <w:name w:val="List Table 5 Dark - Accent 3"/>
    <w:basedOn w:val="945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56" w:customStyle="1">
    <w:name w:val="List Table 5 Dark - Accent 4"/>
    <w:basedOn w:val="945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57" w:customStyle="1">
    <w:name w:val="List Table 5 Dark - Accent 5"/>
    <w:basedOn w:val="945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58" w:customStyle="1">
    <w:name w:val="List Table 5 Dark - Accent 6"/>
    <w:basedOn w:val="945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59">
    <w:name w:val="List Table 6 Colorful"/>
    <w:basedOn w:val="94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60" w:customStyle="1">
    <w:name w:val="List Table 6 Colorful - Accent 1"/>
    <w:basedOn w:val="945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1061" w:customStyle="1">
    <w:name w:val="List Table 6 Colorful - Accent 2"/>
    <w:basedOn w:val="945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062" w:customStyle="1">
    <w:name w:val="List Table 6 Colorful - Accent 3"/>
    <w:basedOn w:val="945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063" w:customStyle="1">
    <w:name w:val="List Table 6 Colorful - Accent 4"/>
    <w:basedOn w:val="945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064" w:customStyle="1">
    <w:name w:val="List Table 6 Colorful - Accent 5"/>
    <w:basedOn w:val="945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1065" w:customStyle="1">
    <w:name w:val="List Table 6 Colorful - Accent 6"/>
    <w:basedOn w:val="945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066">
    <w:name w:val="List Table 7 Colorful"/>
    <w:basedOn w:val="94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 w:customStyle="1">
    <w:name w:val="List Table 7 Colorful - Accent 1"/>
    <w:basedOn w:val="945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 w:customStyle="1">
    <w:name w:val="List Table 7 Colorful - Accent 2"/>
    <w:basedOn w:val="945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 w:customStyle="1">
    <w:name w:val="List Table 7 Colorful - Accent 3"/>
    <w:basedOn w:val="945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 w:customStyle="1">
    <w:name w:val="List Table 7 Colorful - Accent 4"/>
    <w:basedOn w:val="945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 w:customStyle="1">
    <w:name w:val="List Table 7 Colorful - Accent 5"/>
    <w:basedOn w:val="945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 w:customStyle="1">
    <w:name w:val="List Table 7 Colorful - Accent 6"/>
    <w:basedOn w:val="945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3" w:customStyle="1">
    <w:name w:val="Lined - Accent"/>
    <w:basedOn w:val="94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74" w:customStyle="1">
    <w:name w:val="Lined - Accent 1"/>
    <w:basedOn w:val="94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075" w:customStyle="1">
    <w:name w:val="Lined - Accent 2"/>
    <w:basedOn w:val="94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76" w:customStyle="1">
    <w:name w:val="Lined - Accent 3"/>
    <w:basedOn w:val="94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77" w:customStyle="1">
    <w:name w:val="Lined - Accent 4"/>
    <w:basedOn w:val="94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78" w:customStyle="1">
    <w:name w:val="Lined - Accent 5"/>
    <w:basedOn w:val="94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079" w:customStyle="1">
    <w:name w:val="Lined - Accent 6"/>
    <w:basedOn w:val="94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80" w:customStyle="1">
    <w:name w:val="Bordered &amp; Lined - Accent"/>
    <w:basedOn w:val="94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81" w:customStyle="1">
    <w:name w:val="Bordered &amp; Lined - Accent 1"/>
    <w:basedOn w:val="945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082" w:customStyle="1">
    <w:name w:val="Bordered &amp; Lined - Accent 2"/>
    <w:basedOn w:val="945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83" w:customStyle="1">
    <w:name w:val="Bordered &amp; Lined - Accent 3"/>
    <w:basedOn w:val="945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84" w:customStyle="1">
    <w:name w:val="Bordered &amp; Lined - Accent 4"/>
    <w:basedOn w:val="945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85" w:customStyle="1">
    <w:name w:val="Bordered &amp; Lined - Accent 5"/>
    <w:basedOn w:val="945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086" w:customStyle="1">
    <w:name w:val="Bordered &amp; Lined - Accent 6"/>
    <w:basedOn w:val="945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87" w:customStyle="1">
    <w:name w:val="Bordered"/>
    <w:basedOn w:val="94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88" w:customStyle="1">
    <w:name w:val="Bordered - Accent 1"/>
    <w:basedOn w:val="94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089" w:customStyle="1">
    <w:name w:val="Bordered - Accent 2"/>
    <w:basedOn w:val="94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090" w:customStyle="1">
    <w:name w:val="Bordered - Accent 3"/>
    <w:basedOn w:val="94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91" w:customStyle="1">
    <w:name w:val="Bordered - Accent 4"/>
    <w:basedOn w:val="94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92" w:customStyle="1">
    <w:name w:val="Bordered - Accent 5"/>
    <w:basedOn w:val="94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1093" w:customStyle="1">
    <w:name w:val="Bordered - Accent 6"/>
    <w:basedOn w:val="94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94" w:customStyle="1">
    <w:name w:val="Текст сноски Знак1"/>
    <w:link w:val="1157"/>
    <w:uiPriority w:val="99"/>
    <w:rPr>
      <w:sz w:val="18"/>
    </w:rPr>
  </w:style>
  <w:style w:type="character" w:styleId="1095" w:customStyle="1">
    <w:name w:val="Текст концевой сноски Знак1"/>
    <w:link w:val="1213"/>
    <w:uiPriority w:val="99"/>
    <w:rPr>
      <w:sz w:val="20"/>
    </w:rPr>
  </w:style>
  <w:style w:type="paragraph" w:styleId="1096">
    <w:name w:val="table of figures"/>
    <w:basedOn w:val="934"/>
    <w:next w:val="934"/>
    <w:uiPriority w:val="99"/>
    <w:unhideWhenUsed/>
  </w:style>
  <w:style w:type="character" w:styleId="1097" w:customStyle="1">
    <w:name w:val="Символ сноски"/>
    <w:uiPriority w:val="99"/>
    <w:qFormat/>
    <w:rPr>
      <w:vertAlign w:val="superscript"/>
    </w:rPr>
  </w:style>
  <w:style w:type="character" w:styleId="1098">
    <w:name w:val="footnote reference"/>
    <w:rPr>
      <w:vertAlign w:val="superscript"/>
    </w:rPr>
  </w:style>
  <w:style w:type="character" w:styleId="1099">
    <w:name w:val="page number"/>
    <w:basedOn w:val="944"/>
    <w:qFormat/>
  </w:style>
  <w:style w:type="character" w:styleId="1100">
    <w:name w:val="Hyperlink"/>
    <w:uiPriority w:val="99"/>
    <w:rPr>
      <w:color w:val="0000ff"/>
      <w:u w:val="single"/>
    </w:rPr>
  </w:style>
  <w:style w:type="character" w:styleId="1101">
    <w:name w:val="annotation reference"/>
    <w:uiPriority w:val="99"/>
    <w:semiHidden/>
    <w:qFormat/>
    <w:rPr>
      <w:sz w:val="16"/>
      <w:szCs w:val="16"/>
    </w:rPr>
  </w:style>
  <w:style w:type="character" w:styleId="1102">
    <w:name w:val="Strong"/>
    <w:qFormat/>
    <w:rPr>
      <w:b/>
      <w:bCs/>
    </w:rPr>
  </w:style>
  <w:style w:type="character" w:styleId="1103" w:customStyle="1">
    <w:name w:val="Заголовок 6 Знак"/>
    <w:link w:val="940"/>
    <w:uiPriority w:val="9"/>
    <w:qFormat/>
    <w:rPr>
      <w:rFonts w:ascii="Cambria" w:hAnsi="Cambria"/>
      <w:i/>
      <w:iCs/>
      <w:color w:val="243f60"/>
    </w:rPr>
  </w:style>
  <w:style w:type="character" w:styleId="1104" w:customStyle="1">
    <w:name w:val="Заголовок 7 Знак"/>
    <w:link w:val="941"/>
    <w:uiPriority w:val="9"/>
    <w:qFormat/>
    <w:rPr>
      <w:rFonts w:ascii="Cambria" w:hAnsi="Cambria"/>
      <w:i/>
      <w:iCs/>
      <w:color w:val="404040"/>
    </w:rPr>
  </w:style>
  <w:style w:type="character" w:styleId="1105" w:customStyle="1">
    <w:name w:val="Заголовок 8 Знак"/>
    <w:link w:val="942"/>
    <w:uiPriority w:val="9"/>
    <w:qFormat/>
    <w:rPr>
      <w:rFonts w:ascii="Cambria" w:hAnsi="Cambria"/>
      <w:color w:val="4f81bd"/>
    </w:rPr>
  </w:style>
  <w:style w:type="character" w:styleId="1106" w:customStyle="1">
    <w:name w:val="Заголовок 1 Знак"/>
    <w:link w:val="935"/>
    <w:qFormat/>
    <w:rPr>
      <w:rFonts w:eastAsia="Calibri"/>
      <w:b/>
      <w:sz w:val="28"/>
      <w:szCs w:val="28"/>
    </w:rPr>
  </w:style>
  <w:style w:type="character" w:styleId="1107" w:customStyle="1">
    <w:name w:val="Заголовок 2 Знак"/>
    <w:link w:val="936"/>
    <w:qFormat/>
    <w:rPr>
      <w:rFonts w:eastAsia="Calibri"/>
      <w:b/>
      <w:bCs/>
      <w:sz w:val="24"/>
      <w:szCs w:val="24"/>
    </w:rPr>
  </w:style>
  <w:style w:type="character" w:styleId="1108" w:customStyle="1">
    <w:name w:val="Заголовок 3 Знак"/>
    <w:link w:val="937"/>
    <w:qFormat/>
    <w:rPr>
      <w:rFonts w:eastAsia="Calibri"/>
      <w:b/>
      <w:sz w:val="24"/>
      <w:szCs w:val="24"/>
    </w:rPr>
  </w:style>
  <w:style w:type="character" w:styleId="1109" w:customStyle="1">
    <w:name w:val="Заголовок 4 Знак"/>
    <w:link w:val="938"/>
    <w:qFormat/>
    <w:rPr>
      <w:rFonts w:eastAsia="Calibri"/>
      <w:b/>
      <w:bCs/>
      <w:sz w:val="24"/>
      <w:szCs w:val="24"/>
    </w:rPr>
  </w:style>
  <w:style w:type="character" w:styleId="1110" w:customStyle="1">
    <w:name w:val="Заголовок 5 Знак"/>
    <w:link w:val="939"/>
    <w:uiPriority w:val="9"/>
    <w:qFormat/>
    <w:rPr>
      <w:b/>
      <w:bCs/>
      <w:i/>
      <w:iCs/>
      <w:sz w:val="26"/>
      <w:szCs w:val="26"/>
    </w:rPr>
  </w:style>
  <w:style w:type="character" w:styleId="1111" w:customStyle="1">
    <w:name w:val="Заголовок 9 Знак"/>
    <w:link w:val="943"/>
    <w:uiPriority w:val="9"/>
    <w:qFormat/>
    <w:rPr>
      <w:rFonts w:ascii="Arial" w:hAnsi="Arial" w:cs="Arial"/>
      <w:sz w:val="22"/>
      <w:szCs w:val="22"/>
    </w:rPr>
  </w:style>
  <w:style w:type="character" w:styleId="1112" w:customStyle="1">
    <w:name w:val="Название Знак"/>
    <w:link w:val="1161"/>
    <w:uiPriority w:val="10"/>
    <w:qFormat/>
    <w:rPr>
      <w:sz w:val="28"/>
    </w:rPr>
  </w:style>
  <w:style w:type="character" w:styleId="1113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1114">
    <w:name w:val="Emphasis"/>
    <w:uiPriority w:val="20"/>
    <w:qFormat/>
    <w:rPr>
      <w:i/>
      <w:iCs/>
    </w:rPr>
  </w:style>
  <w:style w:type="character" w:styleId="1115" w:customStyle="1">
    <w:name w:val="Цитата 2 Знак"/>
    <w:link w:val="1191"/>
    <w:uiPriority w:val="29"/>
    <w:qFormat/>
    <w:rPr>
      <w:rFonts w:ascii="Calibri" w:hAnsi="Calibri" w:eastAsia="Calibri"/>
      <w:i/>
      <w:iCs/>
      <w:color w:val="000000"/>
    </w:rPr>
  </w:style>
  <w:style w:type="character" w:styleId="1116" w:customStyle="1">
    <w:name w:val="Выделенная цитата Знак"/>
    <w:link w:val="1192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1117">
    <w:name w:val="Subtle Emphasis"/>
    <w:uiPriority w:val="19"/>
    <w:qFormat/>
    <w:rPr>
      <w:i/>
      <w:iCs/>
      <w:color w:val="808080"/>
    </w:rPr>
  </w:style>
  <w:style w:type="character" w:styleId="1118">
    <w:name w:val="Intense Emphasis"/>
    <w:uiPriority w:val="21"/>
    <w:qFormat/>
    <w:rPr>
      <w:b/>
      <w:bCs/>
      <w:i/>
      <w:iCs/>
      <w:color w:val="4f81bd"/>
    </w:rPr>
  </w:style>
  <w:style w:type="character" w:styleId="1119">
    <w:name w:val="Subtle Reference"/>
    <w:uiPriority w:val="31"/>
    <w:qFormat/>
    <w:rPr>
      <w:smallCaps/>
      <w:color w:val="c0504d"/>
      <w:u w:val="single"/>
    </w:rPr>
  </w:style>
  <w:style w:type="character" w:styleId="112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121">
    <w:name w:val="Book Title"/>
    <w:uiPriority w:val="33"/>
    <w:qFormat/>
    <w:rPr>
      <w:b/>
      <w:bCs/>
      <w:smallCaps/>
      <w:spacing w:val="5"/>
    </w:rPr>
  </w:style>
  <w:style w:type="character" w:styleId="1122" w:customStyle="1">
    <w:name w:val="Электронная подпись Знак"/>
    <w:link w:val="1194"/>
    <w:uiPriority w:val="99"/>
    <w:qFormat/>
    <w:rPr>
      <w:rFonts w:eastAsia="Calibri"/>
      <w:sz w:val="24"/>
      <w:szCs w:val="24"/>
    </w:rPr>
  </w:style>
  <w:style w:type="character" w:styleId="1123" w:customStyle="1">
    <w:name w:val="Подпункт Знак1"/>
    <w:link w:val="1171"/>
    <w:qFormat/>
    <w:rPr>
      <w:sz w:val="28"/>
    </w:rPr>
  </w:style>
  <w:style w:type="character" w:styleId="1124" w:customStyle="1">
    <w:name w:val="Текст сноски Знак"/>
    <w:uiPriority w:val="99"/>
    <w:qFormat/>
  </w:style>
  <w:style w:type="character" w:styleId="1125" w:customStyle="1">
    <w:name w:val="Основной текст Знак"/>
    <w:link w:val="1146"/>
    <w:qFormat/>
    <w:rPr>
      <w:sz w:val="28"/>
      <w:szCs w:val="28"/>
    </w:rPr>
  </w:style>
  <w:style w:type="character" w:styleId="1126" w:customStyle="1">
    <w:name w:val="blk"/>
    <w:qFormat/>
  </w:style>
  <w:style w:type="character" w:styleId="1127" w:customStyle="1">
    <w:name w:val="Абзац списка Знак"/>
    <w:link w:val="1190"/>
    <w:uiPriority w:val="34"/>
    <w:qFormat/>
    <w:rPr>
      <w:rFonts w:eastAsia="Calibri"/>
      <w:sz w:val="24"/>
      <w:szCs w:val="24"/>
    </w:rPr>
  </w:style>
  <w:style w:type="character" w:styleId="1128" w:customStyle="1">
    <w:name w:val="комментарий"/>
    <w:qFormat/>
    <w:rPr>
      <w:b/>
      <w:i/>
      <w:shd w:val="clear" w:color="auto" w:fill="ffff99"/>
    </w:rPr>
  </w:style>
  <w:style w:type="character" w:styleId="1129" w:customStyle="1">
    <w:name w:val="Подподпункт Знак"/>
    <w:link w:val="1206"/>
    <w:qFormat/>
    <w:rPr>
      <w:sz w:val="26"/>
      <w:szCs w:val="26"/>
    </w:rPr>
  </w:style>
  <w:style w:type="character" w:styleId="1130" w:customStyle="1">
    <w:name w:val="УРОВЕНЬ_Абзац_тип3 Знак"/>
    <w:link w:val="1210"/>
    <w:qFormat/>
    <w:rPr>
      <w:rFonts w:eastAsia="Calibri"/>
      <w:sz w:val="26"/>
      <w:szCs w:val="28"/>
      <w:lang w:eastAsia="en-US"/>
    </w:rPr>
  </w:style>
  <w:style w:type="character" w:styleId="1131" w:customStyle="1">
    <w:name w:val="Верхний колонтитул Знак"/>
    <w:uiPriority w:val="99"/>
    <w:qFormat/>
    <w:rPr>
      <w:sz w:val="24"/>
      <w:szCs w:val="24"/>
    </w:rPr>
  </w:style>
  <w:style w:type="character" w:styleId="1132" w:customStyle="1">
    <w:name w:val="Текст примечания Знак"/>
    <w:link w:val="1179"/>
    <w:semiHidden/>
    <w:qFormat/>
  </w:style>
  <w:style w:type="character" w:styleId="1133" w:customStyle="1">
    <w:name w:val="Текст концевой сноски Знак"/>
    <w:basedOn w:val="944"/>
    <w:qFormat/>
  </w:style>
  <w:style w:type="character" w:styleId="1134" w:customStyle="1">
    <w:name w:val="Символ концевой сноски"/>
    <w:qFormat/>
    <w:rPr>
      <w:vertAlign w:val="superscript"/>
    </w:rPr>
  </w:style>
  <w:style w:type="character" w:styleId="1135">
    <w:name w:val="endnote reference"/>
    <w:rPr>
      <w:vertAlign w:val="superscript"/>
    </w:rPr>
  </w:style>
  <w:style w:type="character" w:styleId="1136" w:customStyle="1">
    <w:name w:val="Пункт2 Знак"/>
    <w:link w:val="1172"/>
    <w:qFormat/>
    <w:rPr>
      <w:b/>
      <w:sz w:val="28"/>
    </w:rPr>
  </w:style>
  <w:style w:type="character" w:styleId="1137" w:customStyle="1">
    <w:name w:val="УРОВЕНЬ_1. Знак"/>
    <w:link w:val="1217"/>
    <w:qFormat/>
    <w:rPr>
      <w:rFonts w:eastAsia="Calibri"/>
      <w:caps/>
      <w:sz w:val="28"/>
      <w:szCs w:val="28"/>
      <w:lang w:eastAsia="en-US"/>
    </w:rPr>
  </w:style>
  <w:style w:type="character" w:styleId="1138" w:customStyle="1">
    <w:name w:val="Неразрешенное упоминание1"/>
    <w:basedOn w:val="944"/>
    <w:uiPriority w:val="99"/>
    <w:semiHidden/>
    <w:unhideWhenUsed/>
    <w:qFormat/>
    <w:rPr>
      <w:color w:val="605e5c"/>
      <w:shd w:val="clear" w:color="auto" w:fill="e1dfdd"/>
    </w:rPr>
  </w:style>
  <w:style w:type="character" w:styleId="1139" w:customStyle="1">
    <w:name w:val="Основной текст с отступом 3 Знак"/>
    <w:link w:val="1168"/>
    <w:qFormat/>
    <w:rPr>
      <w:sz w:val="16"/>
      <w:szCs w:val="16"/>
    </w:rPr>
  </w:style>
  <w:style w:type="character" w:styleId="1140" w:customStyle="1">
    <w:name w:val="ConsPlusNormal Знак"/>
    <w:link w:val="1200"/>
    <w:qFormat/>
    <w:rPr>
      <w:rFonts w:ascii="Arial" w:hAnsi="Arial" w:cs="Arial"/>
    </w:rPr>
  </w:style>
  <w:style w:type="character" w:styleId="1141" w:customStyle="1">
    <w:name w:val="Ссылка указателя"/>
    <w:qFormat/>
  </w:style>
  <w:style w:type="character" w:styleId="1142" w:customStyle="1">
    <w:name w:val="line number1"/>
    <w:qFormat/>
  </w:style>
  <w:style w:type="character" w:styleId="1143" w:customStyle="1">
    <w:name w:val="line number2"/>
    <w:qFormat/>
  </w:style>
  <w:style w:type="character" w:styleId="1144">
    <w:name w:val="line number"/>
  </w:style>
  <w:style w:type="paragraph" w:styleId="1145">
    <w:name w:val="Title"/>
    <w:basedOn w:val="934"/>
    <w:next w:val="1146"/>
    <w:link w:val="962"/>
    <w:qFormat/>
    <w:pPr>
      <w:keepNext/>
      <w:spacing w:before="240" w:after="120"/>
    </w:pPr>
    <w:rPr>
      <w:rFonts w:ascii="Liberation Sans" w:hAnsi="Liberation Sans" w:eastAsia="Arial Unicode MS" w:cs="Arial Unicode MS"/>
    </w:rPr>
  </w:style>
  <w:style w:type="paragraph" w:styleId="1146">
    <w:name w:val="Body Text"/>
    <w:basedOn w:val="934"/>
    <w:link w:val="1125"/>
    <w:pPr>
      <w:spacing w:after="120"/>
    </w:pPr>
  </w:style>
  <w:style w:type="paragraph" w:styleId="1147">
    <w:name w:val="List"/>
    <w:basedOn w:val="1146"/>
  </w:style>
  <w:style w:type="paragraph" w:styleId="1148">
    <w:name w:val="Caption"/>
    <w:basedOn w:val="934"/>
    <w:link w:val="950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1149">
    <w:name w:val="index heading"/>
    <w:basedOn w:val="1145"/>
  </w:style>
  <w:style w:type="paragraph" w:styleId="1150" w:customStyle="1">
    <w:name w:val="caption1"/>
    <w:basedOn w:val="934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1151" w:customStyle="1">
    <w:name w:val="index heading1"/>
    <w:basedOn w:val="1145"/>
    <w:qFormat/>
  </w:style>
  <w:style w:type="paragraph" w:styleId="1152" w:customStyle="1">
    <w:name w:val="caption11"/>
    <w:basedOn w:val="934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1153" w:customStyle="1">
    <w:name w:val="index heading11"/>
    <w:basedOn w:val="1145"/>
    <w:qFormat/>
  </w:style>
  <w:style w:type="paragraph" w:styleId="1154" w:customStyle="1">
    <w:name w:val="Название раздела инструкции"/>
    <w:basedOn w:val="934"/>
    <w:qFormat/>
    <w:pPr>
      <w:jc w:val="center"/>
    </w:pPr>
    <w:rPr>
      <w:b/>
    </w:rPr>
  </w:style>
  <w:style w:type="paragraph" w:styleId="1155" w:customStyle="1">
    <w:name w:val="Раздел положения"/>
    <w:basedOn w:val="934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156" w:customStyle="1">
    <w:name w:val="Подраздел раздела положения"/>
    <w:basedOn w:val="934"/>
    <w:qFormat/>
    <w:pPr>
      <w:numPr>
        <w:ilvl w:val="1"/>
        <w:numId w:val="1"/>
      </w:numPr>
      <w:jc w:val="both"/>
      <w:spacing w:before="80" w:after="80"/>
    </w:pPr>
  </w:style>
  <w:style w:type="paragraph" w:styleId="1157">
    <w:name w:val="footnote text"/>
    <w:basedOn w:val="934"/>
    <w:link w:val="1094"/>
    <w:uiPriority w:val="99"/>
    <w:rPr>
      <w:sz w:val="20"/>
      <w:szCs w:val="20"/>
    </w:rPr>
  </w:style>
  <w:style w:type="paragraph" w:styleId="1158" w:customStyle="1">
    <w:name w:val="Шапка 1"/>
    <w:basedOn w:val="934"/>
    <w:qFormat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159" w:customStyle="1">
    <w:name w:val="Шапка 2"/>
    <w:basedOn w:val="934"/>
    <w:qFormat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160" w:customStyle="1">
    <w:name w:val="Шапка 3"/>
    <w:basedOn w:val="934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161" w:customStyle="1">
    <w:name w:val="Название1"/>
    <w:basedOn w:val="934"/>
    <w:link w:val="1112"/>
    <w:uiPriority w:val="10"/>
    <w:qFormat/>
    <w:pPr>
      <w:jc w:val="center"/>
    </w:pPr>
    <w:rPr>
      <w:szCs w:val="20"/>
    </w:rPr>
  </w:style>
  <w:style w:type="paragraph" w:styleId="1162" w:customStyle="1">
    <w:name w:val="Колонтитул"/>
    <w:basedOn w:val="934"/>
    <w:qFormat/>
  </w:style>
  <w:style w:type="paragraph" w:styleId="1163">
    <w:name w:val="Header"/>
    <w:basedOn w:val="934"/>
    <w:link w:val="966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164">
    <w:name w:val="Body Text Indent"/>
    <w:basedOn w:val="934"/>
    <w:pPr>
      <w:ind w:left="360"/>
    </w:pPr>
    <w:rPr>
      <w:sz w:val="24"/>
      <w:szCs w:val="24"/>
    </w:rPr>
  </w:style>
  <w:style w:type="paragraph" w:styleId="1165">
    <w:name w:val="Footer"/>
    <w:basedOn w:val="934"/>
    <w:link w:val="968"/>
    <w:pPr>
      <w:tabs>
        <w:tab w:val="center" w:pos="4677" w:leader="none"/>
        <w:tab w:val="right" w:pos="9355" w:leader="none"/>
      </w:tabs>
    </w:pPr>
  </w:style>
  <w:style w:type="paragraph" w:styleId="1166">
    <w:name w:val="Body Text Indent 2"/>
    <w:basedOn w:val="934"/>
    <w:qFormat/>
    <w:pPr>
      <w:ind w:left="283"/>
      <w:spacing w:after="120" w:line="480" w:lineRule="auto"/>
    </w:pPr>
  </w:style>
  <w:style w:type="paragraph" w:styleId="1167">
    <w:name w:val="Body Text 3"/>
    <w:basedOn w:val="934"/>
    <w:qFormat/>
    <w:pPr>
      <w:spacing w:after="120"/>
    </w:pPr>
    <w:rPr>
      <w:sz w:val="16"/>
      <w:szCs w:val="16"/>
    </w:rPr>
  </w:style>
  <w:style w:type="paragraph" w:styleId="1168">
    <w:name w:val="Body Text Indent 3"/>
    <w:basedOn w:val="934"/>
    <w:link w:val="1139"/>
    <w:qFormat/>
    <w:pPr>
      <w:ind w:left="283"/>
      <w:spacing w:after="120"/>
    </w:pPr>
    <w:rPr>
      <w:sz w:val="16"/>
      <w:szCs w:val="16"/>
    </w:rPr>
  </w:style>
  <w:style w:type="paragraph" w:styleId="1169">
    <w:name w:val="Body Text 2"/>
    <w:basedOn w:val="934"/>
    <w:qFormat/>
    <w:pPr>
      <w:spacing w:after="120" w:line="480" w:lineRule="auto"/>
    </w:pPr>
  </w:style>
  <w:style w:type="paragraph" w:styleId="1170">
    <w:name w:val="Block Text"/>
    <w:basedOn w:val="934"/>
    <w:qFormat/>
    <w:pPr>
      <w:ind w:left="-567" w:right="-766"/>
      <w:jc w:val="center"/>
    </w:pPr>
    <w:rPr>
      <w:b/>
      <w:bCs/>
      <w:sz w:val="24"/>
      <w:szCs w:val="20"/>
    </w:rPr>
  </w:style>
  <w:style w:type="paragraph" w:styleId="1171" w:customStyle="1">
    <w:name w:val="Подпункт"/>
    <w:basedOn w:val="934"/>
    <w:link w:val="1123"/>
    <w:qFormat/>
    <w:pPr>
      <w:ind w:left="1134" w:hanging="1134"/>
      <w:jc w:val="both"/>
      <w:spacing w:line="360" w:lineRule="auto"/>
      <w:tabs>
        <w:tab w:val="left" w:pos="1134" w:leader="none"/>
      </w:tabs>
    </w:pPr>
    <w:rPr>
      <w:szCs w:val="20"/>
    </w:rPr>
  </w:style>
  <w:style w:type="paragraph" w:styleId="1172" w:customStyle="1">
    <w:name w:val="Пункт2"/>
    <w:basedOn w:val="934"/>
    <w:link w:val="1136"/>
    <w:qFormat/>
    <w:pPr>
      <w:ind w:left="1134" w:hanging="1134"/>
      <w:keepNext/>
      <w:spacing w:before="240" w:after="120"/>
      <w:tabs>
        <w:tab w:val="left" w:pos="1134" w:leader="none"/>
      </w:tabs>
      <w:outlineLvl w:val="2"/>
    </w:pPr>
    <w:rPr>
      <w:b/>
      <w:szCs w:val="20"/>
    </w:rPr>
  </w:style>
  <w:style w:type="paragraph" w:styleId="1173">
    <w:name w:val="toc 1"/>
    <w:basedOn w:val="934"/>
    <w:next w:val="934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174">
    <w:name w:val="toc 3"/>
    <w:basedOn w:val="934"/>
    <w:next w:val="934"/>
    <w:uiPriority w:val="39"/>
    <w:pPr>
      <w:ind w:left="280"/>
    </w:pPr>
    <w:rPr>
      <w:rFonts w:cstheme="minorHAnsi"/>
      <w:sz w:val="20"/>
      <w:szCs w:val="20"/>
    </w:rPr>
  </w:style>
  <w:style w:type="paragraph" w:styleId="1175" w:customStyle="1">
    <w:name w:val="Раздел регламента"/>
    <w:basedOn w:val="934"/>
    <w:qFormat/>
  </w:style>
  <w:style w:type="paragraph" w:styleId="1176" w:customStyle="1">
    <w:name w:val="Приложение к регламенту"/>
    <w:basedOn w:val="934"/>
    <w:qFormat/>
    <w:pPr>
      <w:jc w:val="right"/>
    </w:pPr>
  </w:style>
  <w:style w:type="paragraph" w:styleId="1177">
    <w:name w:val="toc 2"/>
    <w:basedOn w:val="934"/>
    <w:next w:val="934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1178">
    <w:name w:val="Balloon Text"/>
    <w:basedOn w:val="934"/>
    <w:semiHidden/>
    <w:qFormat/>
    <w:rPr>
      <w:rFonts w:ascii="Tahoma" w:hAnsi="Tahoma" w:cs="Tahoma"/>
      <w:sz w:val="16"/>
      <w:szCs w:val="16"/>
    </w:rPr>
  </w:style>
  <w:style w:type="paragraph" w:styleId="1179">
    <w:name w:val="annotation text"/>
    <w:basedOn w:val="934"/>
    <w:link w:val="1132"/>
    <w:semiHidden/>
    <w:qFormat/>
    <w:rPr>
      <w:sz w:val="20"/>
      <w:szCs w:val="20"/>
    </w:rPr>
  </w:style>
  <w:style w:type="paragraph" w:styleId="1180">
    <w:name w:val="annotation subject"/>
    <w:basedOn w:val="1179"/>
    <w:next w:val="1179"/>
    <w:semiHidden/>
    <w:qFormat/>
    <w:rPr>
      <w:b/>
      <w:bCs/>
    </w:rPr>
  </w:style>
  <w:style w:type="paragraph" w:styleId="1181" w:customStyle="1">
    <w:name w:val="Обычный (веб)1"/>
    <w:basedOn w:val="934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1182">
    <w:name w:val="toc 9"/>
    <w:basedOn w:val="934"/>
    <w:next w:val="934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183">
    <w:name w:val="toc 5"/>
    <w:basedOn w:val="934"/>
    <w:next w:val="934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184">
    <w:name w:val="toc 4"/>
    <w:basedOn w:val="934"/>
    <w:next w:val="934"/>
    <w:uiPriority w:val="39"/>
    <w:pPr>
      <w:ind w:left="560"/>
    </w:pPr>
    <w:rPr>
      <w:rFonts w:cstheme="minorHAnsi"/>
      <w:sz w:val="20"/>
      <w:szCs w:val="20"/>
    </w:rPr>
  </w:style>
  <w:style w:type="paragraph" w:styleId="1185" w:customStyle="1">
    <w:name w:val="Раздел положения 2"/>
    <w:basedOn w:val="934"/>
    <w:qFormat/>
    <w:pPr>
      <w:jc w:val="both"/>
      <w:pageBreakBefore/>
      <w:outlineLvl w:val="0"/>
    </w:pPr>
    <w:rPr>
      <w:b/>
    </w:rPr>
  </w:style>
  <w:style w:type="paragraph" w:styleId="1186" w:customStyle="1">
    <w:name w:val="Знак Знак Знак Знак Знак Знак Знак Знак Знак"/>
    <w:basedOn w:val="934"/>
    <w:qFormat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187">
    <w:name w:val="No Spacing"/>
    <w:basedOn w:val="934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188" w:customStyle="1">
    <w:name w:val="caption111"/>
    <w:basedOn w:val="934"/>
    <w:next w:val="934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1189">
    <w:name w:val="Subtitle"/>
    <w:basedOn w:val="934"/>
    <w:next w:val="934"/>
    <w:link w:val="963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1190">
    <w:name w:val="List Paragraph"/>
    <w:basedOn w:val="934"/>
    <w:link w:val="1127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191">
    <w:name w:val="Quote"/>
    <w:basedOn w:val="934"/>
    <w:next w:val="934"/>
    <w:link w:val="1115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1192">
    <w:name w:val="Intense Quote"/>
    <w:basedOn w:val="934"/>
    <w:next w:val="934"/>
    <w:link w:val="111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1193">
    <w:name w:val="TOC Heading"/>
    <w:basedOn w:val="935"/>
    <w:next w:val="934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194">
    <w:name w:val="E-mail Signature"/>
    <w:basedOn w:val="934"/>
    <w:link w:val="1122"/>
    <w:uiPriority w:val="99"/>
    <w:unhideWhenUsed/>
    <w:qFormat/>
    <w:rPr>
      <w:rFonts w:eastAsia="Calibri"/>
      <w:sz w:val="24"/>
      <w:szCs w:val="24"/>
    </w:rPr>
  </w:style>
  <w:style w:type="paragraph" w:styleId="1195" w:customStyle="1">
    <w:name w:val="Знак"/>
    <w:basedOn w:val="934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96" w:customStyle="1">
    <w:name w:val="Нумерованный список ур3"/>
    <w:basedOn w:val="934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197" w:customStyle="1">
    <w:name w:val="Список 31"/>
    <w:basedOn w:val="934"/>
    <w:qFormat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198" w:customStyle="1">
    <w:name w:val="Нумерованный список ур2"/>
    <w:basedOn w:val="934"/>
    <w:qFormat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199">
    <w:name w:val="Revision"/>
    <w:uiPriority w:val="99"/>
    <w:semiHidden/>
    <w:qFormat/>
    <w:rPr>
      <w:rFonts w:eastAsia="Calibri"/>
      <w:sz w:val="24"/>
      <w:szCs w:val="24"/>
    </w:rPr>
  </w:style>
  <w:style w:type="paragraph" w:styleId="1200" w:customStyle="1">
    <w:name w:val="ConsPlusNormal"/>
    <w:link w:val="1140"/>
    <w:qFormat/>
    <w:pPr>
      <w:ind w:firstLine="720"/>
      <w:widowControl w:val="off"/>
    </w:pPr>
    <w:rPr>
      <w:rFonts w:ascii="Arial" w:hAnsi="Arial" w:cs="Arial"/>
    </w:rPr>
  </w:style>
  <w:style w:type="paragraph" w:styleId="1201" w:customStyle="1">
    <w:name w:val="Знак Знак3 Знак Знак"/>
    <w:basedOn w:val="934"/>
    <w:qFormat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202" w:customStyle="1">
    <w:name w:val="Пункт"/>
    <w:basedOn w:val="934"/>
    <w:qFormat/>
    <w:pPr>
      <w:ind w:left="1134" w:right="800" w:hanging="1134"/>
      <w:jc w:val="both"/>
      <w:spacing w:before="120" w:line="360" w:lineRule="auto"/>
      <w:widowControl w:val="off"/>
      <w:tabs>
        <w:tab w:val="left" w:pos="1134" w:leader="none"/>
      </w:tabs>
    </w:pPr>
    <w:rPr>
      <w:rFonts w:ascii="Arial" w:hAnsi="Arial"/>
      <w:b/>
      <w:i/>
      <w:szCs w:val="20"/>
    </w:rPr>
  </w:style>
  <w:style w:type="paragraph" w:styleId="1203" w:customStyle="1">
    <w:name w:val="Абзац списка1"/>
    <w:basedOn w:val="934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204" w:customStyle="1">
    <w:name w:val="Таблица"/>
    <w:basedOn w:val="934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205" w:customStyle="1">
    <w:name w:val="Таблица шапка"/>
    <w:basedOn w:val="934"/>
    <w:qFormat/>
    <w:pPr>
      <w:ind w:left="57" w:right="57"/>
      <w:keepNext/>
      <w:spacing w:before="40" w:after="40"/>
    </w:pPr>
    <w:rPr>
      <w:sz w:val="22"/>
      <w:szCs w:val="26"/>
    </w:rPr>
  </w:style>
  <w:style w:type="paragraph" w:styleId="1206" w:customStyle="1">
    <w:name w:val="Подподпункт"/>
    <w:basedOn w:val="1171"/>
    <w:link w:val="1129"/>
    <w:qFormat/>
    <w:pPr>
      <w:ind w:left="5104" w:hanging="567"/>
      <w:spacing w:before="12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1207" w:customStyle="1">
    <w:name w:val="УРОВЕНЬ_(а)"/>
    <w:basedOn w:val="1190"/>
    <w:qFormat/>
    <w:pPr>
      <w:numPr>
        <w:ilvl w:val="3"/>
        <w:numId w:val="4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208" w:customStyle="1">
    <w:name w:val="УРОВЕНЬ_-"/>
    <w:basedOn w:val="1190"/>
    <w:qFormat/>
    <w:pPr>
      <w:numPr>
        <w:ilvl w:val="4"/>
        <w:numId w:val="4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209" w:customStyle="1">
    <w:name w:val="УРОВЕНЬ_Абзац_тип2"/>
    <w:basedOn w:val="1190"/>
    <w:qFormat/>
    <w:pPr>
      <w:numPr>
        <w:ilvl w:val="6"/>
        <w:numId w:val="4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210" w:customStyle="1">
    <w:name w:val="УРОВЕНЬ_Абзац_тип3"/>
    <w:basedOn w:val="1190"/>
    <w:link w:val="1130"/>
    <w:qFormat/>
    <w:pPr>
      <w:numPr>
        <w:ilvl w:val="7"/>
        <w:numId w:val="4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211" w:customStyle="1">
    <w:name w:val="УРОВЕНЬ_Подпись"/>
    <w:basedOn w:val="1190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1212" w:customStyle="1">
    <w:name w:val="Стиль Заголовок 1 + по ширине"/>
    <w:basedOn w:val="935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213">
    <w:name w:val="endnote text"/>
    <w:basedOn w:val="934"/>
    <w:link w:val="1095"/>
    <w:rPr>
      <w:sz w:val="20"/>
      <w:szCs w:val="20"/>
    </w:rPr>
  </w:style>
  <w:style w:type="paragraph" w:styleId="1214" w:customStyle="1">
    <w:name w:val="Заголовок 2 КВВ"/>
    <w:basedOn w:val="934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1215" w:customStyle="1">
    <w:name w:val="Таблица текст"/>
    <w:basedOn w:val="934"/>
    <w:qFormat/>
    <w:pPr>
      <w:ind w:left="57" w:right="57"/>
      <w:spacing w:before="40" w:after="40"/>
    </w:pPr>
    <w:rPr>
      <w:sz w:val="24"/>
      <w:szCs w:val="26"/>
    </w:rPr>
  </w:style>
  <w:style w:type="paragraph" w:styleId="1216">
    <w:name w:val="Normal (Web)"/>
    <w:basedOn w:val="934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217" w:customStyle="1">
    <w:name w:val="УРОВЕНЬ_1."/>
    <w:basedOn w:val="1190"/>
    <w:link w:val="1137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1218">
    <w:name w:val="toc 6"/>
    <w:basedOn w:val="934"/>
    <w:next w:val="934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219">
    <w:name w:val="toc 7"/>
    <w:basedOn w:val="934"/>
    <w:next w:val="934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220">
    <w:name w:val="toc 8"/>
    <w:basedOn w:val="934"/>
    <w:next w:val="934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1221" w:customStyle="1">
    <w:name w:val="headertext"/>
    <w:basedOn w:val="934"/>
    <w:qFormat/>
    <w:pPr>
      <w:spacing w:beforeAutospacing="1" w:afterAutospacing="1"/>
    </w:pPr>
    <w:rPr>
      <w:sz w:val="24"/>
      <w:szCs w:val="24"/>
    </w:rPr>
  </w:style>
  <w:style w:type="paragraph" w:styleId="1222" w:customStyle="1">
    <w:name w:val="formattext"/>
    <w:basedOn w:val="934"/>
    <w:qFormat/>
    <w:pPr>
      <w:spacing w:beforeAutospacing="1" w:afterAutospacing="1"/>
    </w:pPr>
    <w:rPr>
      <w:sz w:val="24"/>
      <w:szCs w:val="24"/>
    </w:rPr>
  </w:style>
  <w:style w:type="paragraph" w:styleId="1223" w:customStyle="1">
    <w:name w:val="ListNum"/>
    <w:qFormat/>
    <w:pPr>
      <w:jc w:val="both"/>
      <w:spacing w:before="60"/>
      <w:widowControl w:val="off"/>
      <w:tabs>
        <w:tab w:val="left" w:pos="284" w:leader="none"/>
        <w:tab w:val="left" w:pos="1260" w:leader="none"/>
      </w:tabs>
    </w:pPr>
    <w:rPr>
      <w:color w:val="000000"/>
      <w:sz w:val="22"/>
      <w:szCs w:val="22"/>
    </w:rPr>
  </w:style>
  <w:style w:type="paragraph" w:styleId="1224" w:customStyle="1">
    <w:name w:val="Default"/>
    <w:qFormat/>
    <w:rPr>
      <w:color w:val="000000"/>
      <w:sz w:val="24"/>
      <w:szCs w:val="24"/>
    </w:rPr>
  </w:style>
  <w:style w:type="paragraph" w:styleId="1225" w:customStyle="1">
    <w:name w:val="Содержимое врезки"/>
    <w:basedOn w:val="934"/>
    <w:qFormat/>
  </w:style>
  <w:style w:type="paragraph" w:styleId="1226" w:customStyle="1">
    <w:name w:val="Содержимое таблицы"/>
    <w:basedOn w:val="934"/>
    <w:qFormat/>
    <w:pPr>
      <w:widowControl w:val="off"/>
      <w:suppressLineNumbers/>
    </w:pPr>
  </w:style>
  <w:style w:type="paragraph" w:styleId="1227" w:customStyle="1">
    <w:name w:val="Заголовок таблицы"/>
    <w:basedOn w:val="1226"/>
    <w:qFormat/>
    <w:pPr>
      <w:jc w:val="center"/>
    </w:pPr>
    <w:rPr>
      <w:b/>
      <w:bCs/>
    </w:rPr>
  </w:style>
  <w:style w:type="numbering" w:styleId="1228" w:customStyle="1">
    <w:name w:val="Стиль1"/>
    <w:uiPriority w:val="99"/>
    <w:qFormat/>
  </w:style>
  <w:style w:type="numbering" w:styleId="1229" w:customStyle="1">
    <w:name w:val="Стиль2"/>
    <w:uiPriority w:val="99"/>
    <w:qFormat/>
  </w:style>
  <w:style w:type="table" w:styleId="1230">
    <w:name w:val="Table Grid"/>
    <w:basedOn w:val="945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231" w:customStyle="1">
    <w:name w:val="Сетка таблицы1"/>
    <w:basedOn w:val="945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32" w:customStyle="1">
    <w:name w:val="Table Paragraph"/>
    <w:uiPriority w:val="1"/>
    <w:qFormat/>
    <w:pPr>
      <w:contextualSpacing w:val="0"/>
      <w:ind w:left="33" w:right="0" w:firstLine="0"/>
      <w:jc w:val="left"/>
      <w:keepLines w:val="0"/>
      <w:keepNext w:val="0"/>
      <w:pageBreakBefore w:val="0"/>
      <w:spacing w:before="0" w:beforeAutospacing="0" w:after="0" w:afterAutospacing="0" w:line="217" w:lineRule="exact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ru-RU" w:bidi="ru-RU"/>
      <w14:ligatures w14:val="none"/>
    </w:rPr>
  </w:style>
  <w:style w:type="paragraph" w:styleId="1233" w:customStyle="1">
    <w:name w:val="Main 14"/>
    <w:basedOn w:val="965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clear" w:color="auto" w:fill="ffffff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234" w:customStyle="1">
    <w:name w:val="Основной текст3"/>
    <w:basedOn w:val="969"/>
    <w:qFormat/>
    <w:pPr>
      <w:numPr>
        <w:ilvl w:val="1"/>
      </w:num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eastAsia"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header" Target="header8.xml" /><Relationship Id="rId17" Type="http://schemas.openxmlformats.org/officeDocument/2006/relationships/header" Target="header9.xml" /><Relationship Id="rId18" Type="http://schemas.openxmlformats.org/officeDocument/2006/relationships/header" Target="header10.xml" /><Relationship Id="rId19" Type="http://schemas.openxmlformats.org/officeDocument/2006/relationships/header" Target="header11.xml" /><Relationship Id="rId20" Type="http://schemas.openxmlformats.org/officeDocument/2006/relationships/customXml" Target="../customXml/item1.xml" /><Relationship Id="rId21" Type="http://schemas.openxmlformats.org/officeDocument/2006/relationships/hyperlink" Target="https://fsa.gov.ru/" TargetMode="External"/><Relationship Id="rId22" Type="http://schemas.openxmlformats.org/officeDocument/2006/relationships/hyperlink" Target="https://fsa.gov.ru/" TargetMode="External"/><Relationship Id="rId23" Type="http://schemas.openxmlformats.org/officeDocument/2006/relationships/hyperlink" Target="http://starodubtseva-nv@dgk.ru" TargetMode="External"/><Relationship Id="rId24" Type="http://schemas.openxmlformats.org/officeDocument/2006/relationships/hyperlink" Target="https://fsa.gov.ru/" TargetMode="External"/><Relationship Id="rId25" Type="http://schemas.openxmlformats.org/officeDocument/2006/relationships/hyperlink" Target="http://starodubtseva-nv@dgk.ru" TargetMode="External"/><Relationship Id="rId26" Type="http://schemas.openxmlformats.org/officeDocument/2006/relationships/hyperlink" Target="https://login.consultant.ru/link/?req=doc&amp;base=LAW&amp;n=494318&amp;dst=10000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10.xml.rels><?xml version="1.0" encoding="UTF-8" standalone="yes"?><Relationships xmlns="http://schemas.openxmlformats.org/package/2006/relationships"></Relationships>
</file>

<file path=word/_rels/header1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_rels/header8.xml.rels><?xml version="1.0" encoding="UTF-8" standalone="yes"?><Relationships xmlns="http://schemas.openxmlformats.org/package/2006/relationships"></Relationships>
</file>

<file path=word/_rels/header9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93F61-D422-4CB1-918D-A61D72B67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dc:language>ru-RU</dc:language>
  <cp:lastModifiedBy>fedyasheva_ig</cp:lastModifiedBy>
  <cp:revision>28</cp:revision>
  <dcterms:created xsi:type="dcterms:W3CDTF">2025-06-27T07:46:00Z</dcterms:created>
  <dcterms:modified xsi:type="dcterms:W3CDTF">2026-05-14T04:29:18Z</dcterms:modified>
</cp:coreProperties>
</file>